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ajorEastAsia" w:hAnsiTheme="majorEastAsia" w:eastAsiaTheme="majorEastAsia"/>
          <w:b/>
          <w:sz w:val="36"/>
          <w:szCs w:val="36"/>
          <w:lang w:eastAsia="zh-CN"/>
        </w:rPr>
      </w:pPr>
      <w:r>
        <w:rPr>
          <w:rFonts w:hint="eastAsia" w:asciiTheme="majorEastAsia" w:hAnsiTheme="majorEastAsia" w:eastAsiaTheme="majorEastAsia"/>
          <w:b/>
          <w:sz w:val="36"/>
          <w:szCs w:val="36"/>
          <w:lang w:eastAsia="zh-CN"/>
        </w:rPr>
        <w:t>物流行业首张</w:t>
      </w:r>
      <w:bookmarkStart w:id="0" w:name="_Hlk535440040"/>
      <w:r>
        <w:rPr>
          <w:rFonts w:hint="eastAsia" w:asciiTheme="majorEastAsia" w:hAnsiTheme="majorEastAsia" w:eastAsiaTheme="majorEastAsia"/>
          <w:b/>
          <w:sz w:val="36"/>
          <w:szCs w:val="36"/>
          <w:lang w:eastAsia="zh-CN"/>
        </w:rPr>
        <w:t>电话卡——</w:t>
      </w:r>
      <w:r>
        <w:rPr>
          <w:rFonts w:hint="eastAsia" w:asciiTheme="majorEastAsia" w:hAnsiTheme="majorEastAsia" w:eastAsiaTheme="majorEastAsia"/>
          <w:b/>
          <w:sz w:val="36"/>
          <w:szCs w:val="36"/>
        </w:rPr>
        <w:t>“大路卡”</w:t>
      </w:r>
      <w:bookmarkEnd w:id="0"/>
      <w:r>
        <w:rPr>
          <w:rFonts w:hint="eastAsia" w:asciiTheme="majorEastAsia" w:hAnsiTheme="majorEastAsia" w:eastAsiaTheme="majorEastAsia"/>
          <w:b/>
          <w:sz w:val="36"/>
          <w:szCs w:val="36"/>
          <w:lang w:eastAsia="zh-CN"/>
        </w:rPr>
        <w:t>正式发行</w:t>
      </w:r>
    </w:p>
    <w:p>
      <w:pPr>
        <w:ind w:firstLine="420"/>
        <w:rPr>
          <w:rFonts w:ascii="仿宋" w:hAnsi="仿宋" w:eastAsia="仿宋"/>
          <w:sz w:val="30"/>
          <w:szCs w:val="30"/>
        </w:rPr>
      </w:pPr>
    </w:p>
    <w:p>
      <w:pPr>
        <w:ind w:firstLine="600" w:firstLineChars="200"/>
        <w:rPr>
          <w:rFonts w:ascii="仿宋" w:hAnsi="仿宋" w:eastAsia="仿宋"/>
          <w:sz w:val="30"/>
          <w:szCs w:val="30"/>
        </w:rPr>
      </w:pPr>
      <w:r>
        <w:rPr>
          <w:rFonts w:hint="eastAsia" w:ascii="仿宋" w:hAnsi="仿宋" w:eastAsia="仿宋"/>
          <w:sz w:val="30"/>
          <w:szCs w:val="30"/>
        </w:rPr>
        <w:t>经过多</w:t>
      </w:r>
      <w:bookmarkStart w:id="1" w:name="_GoBack"/>
      <w:bookmarkEnd w:id="1"/>
      <w:r>
        <w:rPr>
          <w:rFonts w:hint="eastAsia" w:ascii="仿宋" w:hAnsi="仿宋" w:eastAsia="仿宋"/>
          <w:sz w:val="30"/>
          <w:szCs w:val="30"/>
        </w:rPr>
        <w:t>方的协调和努力，物流行业第一张专属电话卡——“大路卡”已经进入试发行阶段，选号、发卡、激活、使用全流程已经调测完毕，应用条件已具备；</w:t>
      </w:r>
    </w:p>
    <w:p>
      <w:pPr>
        <w:ind w:firstLine="600" w:firstLineChars="200"/>
        <w:rPr>
          <w:rFonts w:ascii="仿宋" w:hAnsi="仿宋" w:eastAsia="仿宋"/>
          <w:sz w:val="30"/>
          <w:szCs w:val="30"/>
        </w:rPr>
      </w:pPr>
      <w:r>
        <w:rPr>
          <w:rFonts w:hint="eastAsia" w:ascii="仿宋" w:hAnsi="仿宋" w:eastAsia="仿宋"/>
          <w:sz w:val="30"/>
          <w:szCs w:val="30"/>
        </w:rPr>
        <w:t>“大路卡”是中国联通专门为“物流人”定制的上网流量卡，它的发行将使得物流业提前进入到“准5G” 应用时代，并为物流业5G应用创造先机，加速物流行业变革。</w:t>
      </w:r>
    </w:p>
    <w:p>
      <w:pPr>
        <w:rPr>
          <w:rFonts w:ascii="仿宋" w:hAnsi="仿宋" w:eastAsia="仿宋"/>
          <w:sz w:val="30"/>
          <w:szCs w:val="30"/>
        </w:rPr>
      </w:pPr>
      <w:r>
        <w:rPr>
          <w:rFonts w:hint="eastAsia" w:ascii="仿宋" w:hAnsi="仿宋" w:eastAsia="仿宋"/>
          <w:sz w:val="30"/>
          <w:szCs w:val="30"/>
        </w:rPr>
        <w:t>　　所有与物流产业链相关的生产、生活、运营、服务的应用APP，都可以申请加入大路卡免流名单，享受流量免费、不限网速、不限流量、向物流行业推广、增值服务等各项特权。</w:t>
      </w:r>
    </w:p>
    <w:p>
      <w:pPr>
        <w:ind w:firstLine="600" w:firstLineChars="200"/>
        <w:rPr>
          <w:rFonts w:ascii="仿宋" w:hAnsi="仿宋" w:eastAsia="仿宋"/>
          <w:sz w:val="30"/>
          <w:szCs w:val="30"/>
        </w:rPr>
      </w:pPr>
      <w:r>
        <w:rPr>
          <w:rFonts w:hint="eastAsia" w:ascii="仿宋" w:hAnsi="仿宋" w:eastAsia="仿宋"/>
          <w:sz w:val="30"/>
          <w:szCs w:val="30"/>
        </w:rPr>
        <w:t>一、申请流程：</w:t>
      </w:r>
    </w:p>
    <w:p>
      <w:pPr>
        <w:pStyle w:val="16"/>
        <w:numPr>
          <w:ilvl w:val="0"/>
          <w:numId w:val="2"/>
        </w:numPr>
        <w:ind w:firstLineChars="0"/>
        <w:rPr>
          <w:rFonts w:ascii="仿宋" w:hAnsi="仿宋" w:eastAsia="仿宋"/>
          <w:sz w:val="30"/>
          <w:szCs w:val="30"/>
        </w:rPr>
      </w:pPr>
      <w:r>
        <w:rPr>
          <w:rFonts w:hint="eastAsia" w:ascii="仿宋" w:hAnsi="仿宋" w:eastAsia="仿宋"/>
          <w:sz w:val="30"/>
          <w:szCs w:val="30"/>
        </w:rPr>
        <w:t>凡有意申请加入“大路卡”APP免流名单的企业请按附件</w:t>
      </w:r>
      <w:r>
        <w:rPr>
          <w:rFonts w:ascii="仿宋" w:hAnsi="仿宋" w:eastAsia="仿宋"/>
          <w:sz w:val="30"/>
          <w:szCs w:val="30"/>
        </w:rPr>
        <w:t>1</w:t>
      </w:r>
      <w:r>
        <w:rPr>
          <w:rFonts w:hint="eastAsia" w:ascii="仿宋" w:hAnsi="仿宋" w:eastAsia="仿宋"/>
          <w:sz w:val="30"/>
          <w:szCs w:val="30"/>
        </w:rPr>
        <w:t>的要求填写申请表</w:t>
      </w:r>
    </w:p>
    <w:p>
      <w:pPr>
        <w:pStyle w:val="16"/>
        <w:numPr>
          <w:ilvl w:val="0"/>
          <w:numId w:val="2"/>
        </w:numPr>
        <w:ind w:firstLineChars="0"/>
        <w:rPr>
          <w:rFonts w:ascii="仿宋" w:hAnsi="仿宋" w:eastAsia="仿宋"/>
          <w:sz w:val="30"/>
          <w:szCs w:val="30"/>
        </w:rPr>
      </w:pPr>
      <w:r>
        <w:rPr>
          <w:rFonts w:hint="eastAsia" w:ascii="仿宋" w:hAnsi="仿宋" w:eastAsia="仿宋"/>
          <w:sz w:val="30"/>
          <w:szCs w:val="30"/>
        </w:rPr>
        <w:t>申请表加盖公章后，发送至中国物流与采购联合会网络事业部（以下简称中物联网络部）</w:t>
      </w:r>
    </w:p>
    <w:p>
      <w:pPr>
        <w:pStyle w:val="16"/>
        <w:numPr>
          <w:ilvl w:val="0"/>
          <w:numId w:val="2"/>
        </w:numPr>
        <w:ind w:firstLineChars="0"/>
        <w:rPr>
          <w:rFonts w:ascii="仿宋" w:hAnsi="仿宋" w:eastAsia="仿宋"/>
          <w:sz w:val="30"/>
          <w:szCs w:val="30"/>
        </w:rPr>
      </w:pPr>
      <w:r>
        <w:rPr>
          <w:rFonts w:hint="eastAsia" w:ascii="仿宋" w:hAnsi="仿宋" w:eastAsia="仿宋"/>
          <w:sz w:val="30"/>
          <w:szCs w:val="30"/>
        </w:rPr>
        <w:t>中物联网络部负责对相关材料进行审核。</w:t>
      </w:r>
    </w:p>
    <w:p>
      <w:pPr>
        <w:pStyle w:val="16"/>
        <w:numPr>
          <w:ilvl w:val="0"/>
          <w:numId w:val="2"/>
        </w:numPr>
        <w:ind w:firstLineChars="0"/>
        <w:rPr>
          <w:rFonts w:ascii="仿宋" w:hAnsi="仿宋" w:eastAsia="仿宋"/>
          <w:sz w:val="30"/>
          <w:szCs w:val="30"/>
        </w:rPr>
      </w:pPr>
      <w:r>
        <w:rPr>
          <w:rFonts w:hint="eastAsia" w:ascii="仿宋" w:hAnsi="仿宋" w:eastAsia="仿宋"/>
          <w:sz w:val="30"/>
          <w:szCs w:val="30"/>
        </w:rPr>
        <w:t>审核通过后，中物联网络部将正式通知申请单位，并发送正式“大路卡”APP免流名单登记表。</w:t>
      </w:r>
    </w:p>
    <w:p>
      <w:pPr>
        <w:pStyle w:val="16"/>
        <w:numPr>
          <w:ilvl w:val="0"/>
          <w:numId w:val="2"/>
        </w:numPr>
        <w:ind w:firstLineChars="0"/>
        <w:rPr>
          <w:rFonts w:ascii="仿宋" w:hAnsi="仿宋" w:eastAsia="仿宋"/>
          <w:sz w:val="30"/>
          <w:szCs w:val="30"/>
        </w:rPr>
      </w:pPr>
      <w:r>
        <w:rPr>
          <w:rFonts w:hint="eastAsia" w:ascii="仿宋" w:hAnsi="仿宋" w:eastAsia="仿宋"/>
          <w:sz w:val="30"/>
          <w:szCs w:val="30"/>
        </w:rPr>
        <w:t>申请单位填写登记表后，发送给中物联网络部。</w:t>
      </w:r>
    </w:p>
    <w:p>
      <w:pPr>
        <w:pStyle w:val="16"/>
        <w:numPr>
          <w:ilvl w:val="0"/>
          <w:numId w:val="2"/>
        </w:numPr>
        <w:ind w:firstLineChars="0"/>
        <w:rPr>
          <w:rFonts w:ascii="仿宋" w:hAnsi="仿宋" w:eastAsia="仿宋"/>
          <w:sz w:val="30"/>
          <w:szCs w:val="30"/>
        </w:rPr>
      </w:pPr>
      <w:r>
        <w:rPr>
          <w:rFonts w:hint="eastAsia" w:ascii="仿宋" w:hAnsi="仿宋" w:eastAsia="仿宋"/>
          <w:sz w:val="30"/>
          <w:szCs w:val="30"/>
        </w:rPr>
        <w:t>经中物联网络部核实无误后，申请单位的应用APP将正式成为“大路卡”APP免流名单。</w:t>
      </w:r>
    </w:p>
    <w:p>
      <w:pPr>
        <w:ind w:firstLine="420"/>
        <w:rPr>
          <w:rFonts w:ascii="仿宋" w:hAnsi="仿宋" w:eastAsia="仿宋"/>
          <w:sz w:val="30"/>
          <w:szCs w:val="30"/>
        </w:rPr>
      </w:pPr>
    </w:p>
    <w:p>
      <w:pPr>
        <w:ind w:firstLine="420"/>
        <w:rPr>
          <w:rFonts w:ascii="仿宋" w:hAnsi="仿宋" w:eastAsia="仿宋"/>
          <w:sz w:val="30"/>
          <w:szCs w:val="30"/>
        </w:rPr>
      </w:pPr>
      <w:r>
        <w:rPr>
          <w:rFonts w:hint="eastAsia" w:ascii="仿宋" w:hAnsi="仿宋" w:eastAsia="仿宋"/>
          <w:sz w:val="30"/>
          <w:szCs w:val="30"/>
        </w:rPr>
        <w:t>二、联系方式：</w:t>
      </w:r>
    </w:p>
    <w:p>
      <w:pPr>
        <w:ind w:firstLine="420"/>
        <w:rPr>
          <w:rFonts w:ascii="仿宋" w:hAnsi="仿宋" w:eastAsia="仿宋"/>
          <w:sz w:val="30"/>
          <w:szCs w:val="30"/>
        </w:rPr>
      </w:pPr>
      <w:r>
        <w:rPr>
          <w:rFonts w:hint="eastAsia" w:ascii="仿宋" w:hAnsi="仿宋" w:eastAsia="仿宋"/>
          <w:sz w:val="30"/>
          <w:szCs w:val="30"/>
        </w:rPr>
        <w:t>请有意申请加入“大路卡”APP免流名单的企业与中国物流与采购联合会网络事业部联系</w:t>
      </w:r>
    </w:p>
    <w:p>
      <w:pPr>
        <w:ind w:firstLine="420"/>
        <w:rPr>
          <w:rFonts w:ascii="仿宋" w:hAnsi="仿宋" w:eastAsia="仿宋"/>
          <w:sz w:val="30"/>
          <w:szCs w:val="30"/>
        </w:rPr>
      </w:pPr>
      <w:r>
        <w:rPr>
          <w:rFonts w:hint="eastAsia" w:ascii="仿宋" w:hAnsi="仿宋" w:eastAsia="仿宋"/>
          <w:sz w:val="30"/>
          <w:szCs w:val="30"/>
        </w:rPr>
        <w:t xml:space="preserve">联系人：郑易非 </w:t>
      </w:r>
      <w:r>
        <w:rPr>
          <w:rFonts w:ascii="仿宋" w:hAnsi="仿宋" w:eastAsia="仿宋"/>
          <w:sz w:val="30"/>
          <w:szCs w:val="30"/>
        </w:rPr>
        <w:t xml:space="preserve">          </w:t>
      </w:r>
      <w:r>
        <w:rPr>
          <w:rFonts w:hint="eastAsia" w:ascii="仿宋" w:hAnsi="仿宋" w:eastAsia="仿宋"/>
          <w:sz w:val="30"/>
          <w:szCs w:val="30"/>
        </w:rPr>
        <w:t xml:space="preserve">联系电话：15901277360  </w:t>
      </w:r>
    </w:p>
    <w:p>
      <w:pPr>
        <w:ind w:firstLine="420"/>
        <w:rPr>
          <w:rFonts w:ascii="仿宋" w:hAnsi="仿宋" w:eastAsia="仿宋"/>
          <w:sz w:val="30"/>
          <w:szCs w:val="30"/>
        </w:rPr>
      </w:pPr>
      <w:r>
        <w:rPr>
          <w:rFonts w:hint="eastAsia" w:ascii="仿宋" w:hAnsi="仿宋" w:eastAsia="仿宋"/>
          <w:sz w:val="30"/>
          <w:szCs w:val="30"/>
        </w:rPr>
        <w:t>E</w:t>
      </w:r>
      <w:r>
        <w:rPr>
          <w:rFonts w:ascii="仿宋" w:hAnsi="仿宋" w:eastAsia="仿宋"/>
          <w:sz w:val="30"/>
          <w:szCs w:val="30"/>
        </w:rPr>
        <w:t>m</w:t>
      </w:r>
      <w:r>
        <w:rPr>
          <w:rFonts w:hint="eastAsia" w:ascii="仿宋" w:hAnsi="仿宋" w:eastAsia="仿宋"/>
          <w:sz w:val="30"/>
          <w:szCs w:val="30"/>
        </w:rPr>
        <w:t>ail：</w:t>
      </w:r>
      <w:r>
        <w:fldChar w:fldCharType="begin"/>
      </w:r>
      <w:r>
        <w:instrText xml:space="preserve"> HYPERLINK "mailto:cflpwlb@chinawuliu.com.cn" </w:instrText>
      </w:r>
      <w:r>
        <w:fldChar w:fldCharType="separate"/>
      </w:r>
      <w:r>
        <w:rPr>
          <w:rStyle w:val="15"/>
          <w:rFonts w:hint="eastAsia" w:ascii="仿宋" w:hAnsi="仿宋" w:eastAsia="仿宋"/>
          <w:sz w:val="30"/>
          <w:szCs w:val="30"/>
        </w:rPr>
        <w:t>cflpwlb@chinawuliu.com.cn</w:t>
      </w:r>
      <w:r>
        <w:rPr>
          <w:rStyle w:val="15"/>
          <w:rFonts w:hint="eastAsia" w:ascii="仿宋" w:hAnsi="仿宋" w:eastAsia="仿宋"/>
          <w:sz w:val="30"/>
          <w:szCs w:val="30"/>
        </w:rPr>
        <w:fldChar w:fldCharType="end"/>
      </w:r>
      <w:r>
        <w:rPr>
          <w:rFonts w:hint="eastAsia" w:ascii="仿宋" w:hAnsi="仿宋" w:eastAsia="仿宋"/>
          <w:sz w:val="30"/>
          <w:szCs w:val="30"/>
        </w:rPr>
        <w:t xml:space="preserve"> </w:t>
      </w:r>
    </w:p>
    <w:p>
      <w:pPr>
        <w:ind w:left="420"/>
        <w:rPr>
          <w:rFonts w:ascii="仿宋" w:hAnsi="仿宋" w:eastAsia="仿宋"/>
          <w:sz w:val="30"/>
          <w:szCs w:val="30"/>
        </w:rPr>
      </w:pPr>
    </w:p>
    <w:p>
      <w:pPr>
        <w:ind w:firstLine="1200" w:firstLineChars="400"/>
        <w:rPr>
          <w:rFonts w:ascii="仿宋" w:hAnsi="仿宋" w:eastAsia="仿宋"/>
          <w:sz w:val="30"/>
          <w:szCs w:val="30"/>
        </w:rPr>
      </w:pPr>
      <w:r>
        <w:rPr>
          <w:rFonts w:hint="eastAsia" w:ascii="仿宋" w:hAnsi="仿宋" w:eastAsia="仿宋"/>
          <w:sz w:val="30"/>
          <w:szCs w:val="30"/>
        </w:rPr>
        <w:t>附件1：关于在物流行业推广大路卡和深化物流应用APP的说明</w:t>
      </w:r>
    </w:p>
    <w:p>
      <w:pPr>
        <w:ind w:firstLine="1800" w:firstLineChars="600"/>
        <w:rPr>
          <w:rFonts w:ascii="仿宋" w:hAnsi="仿宋" w:eastAsia="仿宋"/>
          <w:sz w:val="30"/>
          <w:szCs w:val="30"/>
        </w:rPr>
      </w:pPr>
      <w:r>
        <w:rPr>
          <w:rFonts w:hint="eastAsia" w:ascii="仿宋" w:hAnsi="仿宋" w:eastAsia="仿宋"/>
          <w:sz w:val="30"/>
          <w:szCs w:val="30"/>
        </w:rPr>
        <w:t>2：加入大路卡APP免流名单申请表</w:t>
      </w:r>
    </w:p>
    <w:p>
      <w:pPr>
        <w:ind w:firstLine="1200" w:firstLineChars="400"/>
        <w:rPr>
          <w:rFonts w:ascii="仿宋" w:hAnsi="仿宋" w:eastAsia="仿宋"/>
          <w:sz w:val="30"/>
          <w:szCs w:val="30"/>
        </w:rPr>
      </w:pPr>
    </w:p>
    <w:p>
      <w:pPr>
        <w:ind w:firstLine="420"/>
        <w:rPr>
          <w:rFonts w:ascii="仿宋" w:hAnsi="仿宋" w:eastAsia="仿宋"/>
          <w:sz w:val="30"/>
          <w:szCs w:val="30"/>
        </w:rPr>
      </w:pPr>
    </w:p>
    <w:p>
      <w:pPr>
        <w:ind w:firstLine="420"/>
        <w:jc w:val="right"/>
        <w:rPr>
          <w:rFonts w:ascii="仿宋" w:hAnsi="仿宋" w:eastAsia="仿宋"/>
          <w:sz w:val="30"/>
          <w:szCs w:val="30"/>
        </w:rPr>
      </w:pPr>
      <w:r>
        <w:rPr>
          <w:rFonts w:hint="eastAsia" w:ascii="仿宋" w:hAnsi="仿宋" w:eastAsia="仿宋"/>
          <w:sz w:val="30"/>
          <w:szCs w:val="30"/>
        </w:rPr>
        <w:t>中国物流与采购联合会网络事业部</w:t>
      </w:r>
    </w:p>
    <w:p>
      <w:pPr>
        <w:ind w:firstLine="420"/>
        <w:jc w:val="right"/>
        <w:rPr>
          <w:rFonts w:ascii="仿宋" w:hAnsi="仿宋" w:eastAsia="仿宋"/>
          <w:sz w:val="30"/>
          <w:szCs w:val="30"/>
        </w:rPr>
      </w:pPr>
      <w:r>
        <w:rPr>
          <w:rFonts w:hint="eastAsia" w:ascii="仿宋" w:hAnsi="仿宋" w:eastAsia="仿宋"/>
          <w:sz w:val="30"/>
          <w:szCs w:val="30"/>
        </w:rPr>
        <w:t>2019年1月16日</w:t>
      </w:r>
    </w:p>
    <w:p>
      <w:pPr>
        <w:ind w:firstLine="420"/>
        <w:jc w:val="right"/>
        <w:rPr>
          <w:sz w:val="20"/>
          <w:szCs w:val="22"/>
        </w:rPr>
      </w:pPr>
    </w:p>
    <w:p>
      <w:pPr>
        <w:ind w:firstLine="420"/>
        <w:jc w:val="right"/>
        <w:rPr>
          <w:sz w:val="20"/>
          <w:szCs w:val="22"/>
        </w:rPr>
      </w:pPr>
    </w:p>
    <w:p>
      <w:pPr>
        <w:ind w:firstLine="420"/>
        <w:jc w:val="right"/>
        <w:rPr>
          <w:sz w:val="20"/>
          <w:szCs w:val="22"/>
        </w:rPr>
      </w:pPr>
    </w:p>
    <w:p>
      <w:pPr>
        <w:ind w:firstLine="420"/>
        <w:jc w:val="right"/>
        <w:rPr>
          <w:sz w:val="20"/>
          <w:szCs w:val="22"/>
        </w:rPr>
      </w:pPr>
    </w:p>
    <w:p>
      <w:pPr>
        <w:ind w:firstLine="420"/>
        <w:jc w:val="right"/>
        <w:rPr>
          <w:sz w:val="20"/>
          <w:szCs w:val="22"/>
        </w:rPr>
      </w:pPr>
    </w:p>
    <w:p>
      <w:pPr>
        <w:ind w:firstLine="420"/>
        <w:jc w:val="right"/>
        <w:rPr>
          <w:sz w:val="20"/>
          <w:szCs w:val="22"/>
        </w:rPr>
      </w:pPr>
    </w:p>
    <w:p>
      <w:pPr>
        <w:ind w:firstLine="420"/>
        <w:jc w:val="right"/>
        <w:rPr>
          <w:sz w:val="20"/>
          <w:szCs w:val="22"/>
        </w:rPr>
      </w:pPr>
    </w:p>
    <w:p>
      <w:pPr>
        <w:ind w:firstLine="420"/>
        <w:jc w:val="right"/>
        <w:rPr>
          <w:sz w:val="20"/>
          <w:szCs w:val="22"/>
        </w:rPr>
      </w:pPr>
    </w:p>
    <w:p>
      <w:pPr>
        <w:ind w:firstLine="420"/>
        <w:jc w:val="right"/>
        <w:rPr>
          <w:sz w:val="20"/>
          <w:szCs w:val="22"/>
        </w:rPr>
      </w:pPr>
    </w:p>
    <w:p>
      <w:pPr>
        <w:ind w:firstLine="420"/>
        <w:jc w:val="right"/>
        <w:rPr>
          <w:sz w:val="20"/>
          <w:szCs w:val="22"/>
        </w:rPr>
      </w:pPr>
    </w:p>
    <w:p>
      <w:pPr>
        <w:ind w:firstLine="420"/>
        <w:jc w:val="right"/>
        <w:rPr>
          <w:sz w:val="20"/>
          <w:szCs w:val="22"/>
        </w:rPr>
      </w:pPr>
    </w:p>
    <w:p>
      <w:pPr>
        <w:ind w:firstLine="420"/>
        <w:jc w:val="right"/>
        <w:rPr>
          <w:sz w:val="20"/>
          <w:szCs w:val="22"/>
        </w:rPr>
      </w:pPr>
    </w:p>
    <w:p>
      <w:pPr>
        <w:ind w:firstLine="420"/>
        <w:jc w:val="right"/>
        <w:rPr>
          <w:sz w:val="20"/>
          <w:szCs w:val="22"/>
        </w:rPr>
      </w:pPr>
    </w:p>
    <w:p>
      <w:pPr>
        <w:ind w:firstLine="420"/>
        <w:jc w:val="right"/>
        <w:rPr>
          <w:sz w:val="20"/>
          <w:szCs w:val="22"/>
        </w:rPr>
      </w:pPr>
    </w:p>
    <w:p>
      <w:pPr>
        <w:ind w:firstLine="420"/>
        <w:jc w:val="right"/>
        <w:rPr>
          <w:sz w:val="20"/>
          <w:szCs w:val="22"/>
        </w:rPr>
      </w:pPr>
    </w:p>
    <w:p>
      <w:pPr>
        <w:ind w:firstLine="420"/>
        <w:jc w:val="right"/>
        <w:rPr>
          <w:sz w:val="20"/>
          <w:szCs w:val="22"/>
        </w:rPr>
      </w:pPr>
    </w:p>
    <w:p>
      <w:pPr>
        <w:rPr>
          <w:sz w:val="28"/>
          <w:szCs w:val="28"/>
        </w:rPr>
      </w:pPr>
      <w:r>
        <w:rPr>
          <w:rFonts w:hint="eastAsia" w:asciiTheme="majorEastAsia" w:hAnsiTheme="majorEastAsia" w:eastAsiaTheme="majorEastAsia"/>
          <w:b/>
          <w:sz w:val="32"/>
          <w:szCs w:val="32"/>
        </w:rPr>
        <w:t>附件</w:t>
      </w:r>
      <w:r>
        <w:rPr>
          <w:rFonts w:hint="eastAsia" w:asciiTheme="majorEastAsia" w:hAnsiTheme="majorEastAsia" w:eastAsiaTheme="majorEastAsia"/>
          <w:b/>
          <w:sz w:val="32"/>
          <w:szCs w:val="32"/>
          <w:lang w:val="en-US" w:eastAsia="zh-CN"/>
        </w:rPr>
        <w:t>1</w:t>
      </w:r>
      <w:r>
        <w:rPr>
          <w:rFonts w:hint="eastAsia" w:asciiTheme="majorEastAsia" w:hAnsiTheme="majorEastAsia" w:eastAsiaTheme="majorEastAsia"/>
          <w:b/>
          <w:sz w:val="32"/>
          <w:szCs w:val="32"/>
        </w:rPr>
        <w:t>：</w:t>
      </w:r>
    </w:p>
    <w:p>
      <w:pPr>
        <w:jc w:val="center"/>
        <w:rPr>
          <w:rFonts w:asciiTheme="majorEastAsia" w:hAnsiTheme="majorEastAsia" w:eastAsiaTheme="majorEastAsia"/>
          <w:b/>
          <w:sz w:val="36"/>
          <w:szCs w:val="36"/>
        </w:rPr>
      </w:pPr>
      <w:r>
        <w:rPr>
          <w:rFonts w:hint="eastAsia" w:asciiTheme="majorEastAsia" w:hAnsiTheme="majorEastAsia" w:eastAsiaTheme="majorEastAsia"/>
          <w:b/>
          <w:sz w:val="36"/>
          <w:szCs w:val="36"/>
        </w:rPr>
        <w:t>关于在物流行业推广大路卡和深化物流应用APP的说明</w:t>
      </w:r>
    </w:p>
    <w:p>
      <w:pPr>
        <w:ind w:firstLine="420"/>
        <w:rPr>
          <w:rFonts w:ascii="仿宋" w:hAnsi="仿宋" w:eastAsia="仿宋"/>
          <w:sz w:val="30"/>
          <w:szCs w:val="30"/>
        </w:rPr>
      </w:pPr>
    </w:p>
    <w:p>
      <w:pPr>
        <w:ind w:firstLine="420"/>
        <w:rPr>
          <w:rFonts w:ascii="仿宋" w:hAnsi="仿宋" w:eastAsia="仿宋"/>
          <w:sz w:val="30"/>
          <w:szCs w:val="30"/>
        </w:rPr>
      </w:pPr>
      <w:r>
        <w:rPr>
          <w:rFonts w:hint="eastAsia" w:ascii="仿宋" w:hAnsi="仿宋" w:eastAsia="仿宋"/>
          <w:sz w:val="30"/>
          <w:szCs w:val="30"/>
        </w:rPr>
        <w:t>大路卡，是中国联通为物流业定向发行的、含特惠资费包的电话号码，及以此为基础的增值服务，旨在建立符合物流行业需求和发展的基础设施，引领物流行业从小、散、乱向高效益、高效率升级，促进物流行业形成产业共同体。</w:t>
      </w:r>
    </w:p>
    <w:p>
      <w:pPr>
        <w:ind w:firstLine="420"/>
        <w:rPr>
          <w:rFonts w:ascii="仿宋" w:hAnsi="仿宋" w:eastAsia="仿宋"/>
          <w:sz w:val="30"/>
          <w:szCs w:val="30"/>
        </w:rPr>
      </w:pPr>
      <w:r>
        <w:rPr>
          <w:rFonts w:hint="eastAsia" w:ascii="仿宋" w:hAnsi="仿宋" w:eastAsia="仿宋"/>
          <w:sz w:val="30"/>
          <w:szCs w:val="30"/>
        </w:rPr>
        <w:t>大路卡针对物流行业需求和发展特性提供资费方案，其特点是：</w:t>
      </w:r>
    </w:p>
    <w:p>
      <w:pPr>
        <w:ind w:left="840"/>
        <w:rPr>
          <w:rFonts w:ascii="仿宋" w:hAnsi="仿宋" w:eastAsia="仿宋"/>
          <w:sz w:val="30"/>
          <w:szCs w:val="30"/>
        </w:rPr>
      </w:pPr>
      <w:r>
        <w:rPr>
          <w:rFonts w:hint="eastAsia" w:ascii="仿宋" w:hAnsi="仿宋" w:eastAsia="仿宋"/>
          <w:sz w:val="30"/>
          <w:szCs w:val="30"/>
        </w:rPr>
        <w:t>免费办卡（无任何附加条件）</w:t>
      </w:r>
    </w:p>
    <w:p>
      <w:pPr>
        <w:ind w:left="840"/>
        <w:rPr>
          <w:rFonts w:ascii="仿宋" w:hAnsi="仿宋" w:eastAsia="仿宋"/>
          <w:sz w:val="30"/>
          <w:szCs w:val="30"/>
        </w:rPr>
      </w:pPr>
      <w:r>
        <w:rPr>
          <w:rFonts w:hint="eastAsia" w:ascii="仿宋" w:hAnsi="仿宋" w:eastAsia="仿宋"/>
          <w:b/>
          <w:bCs/>
          <w:sz w:val="30"/>
          <w:szCs w:val="30"/>
        </w:rPr>
        <w:t>免流量费</w:t>
      </w:r>
      <w:r>
        <w:rPr>
          <w:rFonts w:hint="eastAsia" w:ascii="仿宋" w:hAnsi="仿宋" w:eastAsia="仿宋"/>
          <w:sz w:val="30"/>
          <w:szCs w:val="30"/>
        </w:rPr>
        <w:t>（免流名单内）</w:t>
      </w:r>
    </w:p>
    <w:p>
      <w:pPr>
        <w:ind w:left="840"/>
        <w:rPr>
          <w:rFonts w:ascii="仿宋" w:hAnsi="仿宋" w:eastAsia="仿宋"/>
          <w:sz w:val="30"/>
          <w:szCs w:val="30"/>
        </w:rPr>
      </w:pPr>
      <w:r>
        <w:rPr>
          <w:rFonts w:hint="eastAsia" w:ascii="仿宋" w:hAnsi="仿宋" w:eastAsia="仿宋"/>
          <w:b/>
          <w:bCs/>
          <w:sz w:val="30"/>
          <w:szCs w:val="30"/>
        </w:rPr>
        <w:t>免电话费</w:t>
      </w:r>
      <w:r>
        <w:rPr>
          <w:rFonts w:hint="eastAsia" w:ascii="仿宋" w:hAnsi="仿宋" w:eastAsia="仿宋"/>
          <w:sz w:val="30"/>
          <w:szCs w:val="30"/>
        </w:rPr>
        <w:t>（所有大路卡用户之间）</w:t>
      </w:r>
    </w:p>
    <w:p>
      <w:pPr>
        <w:ind w:left="840"/>
        <w:rPr>
          <w:rFonts w:ascii="仿宋" w:hAnsi="仿宋" w:eastAsia="仿宋"/>
          <w:sz w:val="30"/>
          <w:szCs w:val="30"/>
        </w:rPr>
      </w:pPr>
      <w:r>
        <w:rPr>
          <w:rFonts w:hint="eastAsia" w:ascii="仿宋" w:hAnsi="仿宋" w:eastAsia="仿宋"/>
          <w:b/>
          <w:bCs/>
          <w:sz w:val="30"/>
          <w:szCs w:val="30"/>
        </w:rPr>
        <w:t>费用低廉（</w:t>
      </w:r>
      <w:r>
        <w:rPr>
          <w:rFonts w:hint="eastAsia" w:ascii="仿宋" w:hAnsi="仿宋" w:eastAsia="仿宋"/>
          <w:sz w:val="30"/>
          <w:szCs w:val="30"/>
        </w:rPr>
        <w:t>19元/月，首充50元可用半年）</w:t>
      </w:r>
    </w:p>
    <w:p>
      <w:pPr>
        <w:ind w:firstLine="420"/>
        <w:rPr>
          <w:rFonts w:ascii="仿宋" w:hAnsi="仿宋" w:eastAsia="仿宋"/>
          <w:sz w:val="30"/>
          <w:szCs w:val="30"/>
        </w:rPr>
      </w:pPr>
      <w:r>
        <w:rPr>
          <w:rFonts w:hint="eastAsia" w:ascii="仿宋" w:hAnsi="仿宋" w:eastAsia="仿宋"/>
          <w:sz w:val="30"/>
          <w:szCs w:val="30"/>
        </w:rPr>
        <w:t>大路卡不仅是资费套餐——更是以物流生产力的解放和提升为纲领，从顶层设计开始、具体到实施细节和发展规划，都在贯彻这一纲领，这也是大路卡区别于其它资费优惠套餐之处——大路卡是生产力工具！</w:t>
      </w:r>
    </w:p>
    <w:p>
      <w:pPr>
        <w:ind w:firstLine="420"/>
        <w:jc w:val="center"/>
        <w:rPr>
          <w:rFonts w:ascii="仿宋" w:hAnsi="仿宋" w:eastAsia="仿宋"/>
          <w:sz w:val="30"/>
          <w:szCs w:val="30"/>
        </w:rPr>
      </w:pPr>
      <w:r>
        <w:rPr>
          <w:rFonts w:ascii="仿宋" w:hAnsi="仿宋" w:eastAsia="仿宋"/>
          <w:sz w:val="30"/>
          <w:szCs w:val="30"/>
        </w:rPr>
        <w:drawing>
          <wp:inline distT="0" distB="0" distL="114300" distR="114300">
            <wp:extent cx="3758565" cy="1952625"/>
            <wp:effectExtent l="0" t="0" r="5715" b="13335"/>
            <wp:docPr id="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pic:cNvPicPr>
                      <a:picLocks noChangeAspect="1"/>
                    </pic:cNvPicPr>
                  </pic:nvPicPr>
                  <pic:blipFill>
                    <a:blip r:embed="rId4"/>
                    <a:stretch>
                      <a:fillRect/>
                    </a:stretch>
                  </pic:blipFill>
                  <pic:spPr>
                    <a:xfrm>
                      <a:off x="0" y="0"/>
                      <a:ext cx="3758565" cy="1952625"/>
                    </a:xfrm>
                    <a:prstGeom prst="rect">
                      <a:avLst/>
                    </a:prstGeom>
                    <a:noFill/>
                    <a:ln w="9525">
                      <a:noFill/>
                    </a:ln>
                  </pic:spPr>
                </pic:pic>
              </a:graphicData>
            </a:graphic>
          </wp:inline>
        </w:drawing>
      </w:r>
    </w:p>
    <w:p>
      <w:pPr>
        <w:ind w:firstLine="420"/>
        <w:jc w:val="left"/>
        <w:rPr>
          <w:rFonts w:ascii="仿宋" w:hAnsi="仿宋" w:eastAsia="仿宋"/>
          <w:sz w:val="30"/>
          <w:szCs w:val="30"/>
        </w:rPr>
      </w:pPr>
    </w:p>
    <w:p>
      <w:pPr>
        <w:ind w:firstLine="420"/>
        <w:rPr>
          <w:rFonts w:ascii="仿宋" w:hAnsi="仿宋" w:eastAsia="仿宋"/>
          <w:sz w:val="30"/>
          <w:szCs w:val="30"/>
        </w:rPr>
      </w:pPr>
      <w:r>
        <w:rPr>
          <w:rFonts w:hint="eastAsia" w:ascii="仿宋" w:hAnsi="仿宋" w:eastAsia="仿宋"/>
          <w:sz w:val="30"/>
          <w:szCs w:val="30"/>
        </w:rPr>
        <w:t>大路卡完全以用户为中心、以应用发展为目的</w:t>
      </w:r>
    </w:p>
    <w:p>
      <w:pPr>
        <w:ind w:left="840"/>
        <w:rPr>
          <w:rFonts w:ascii="仿宋" w:hAnsi="仿宋" w:eastAsia="仿宋"/>
          <w:sz w:val="30"/>
          <w:szCs w:val="30"/>
        </w:rPr>
      </w:pPr>
      <w:r>
        <w:rPr>
          <w:rFonts w:hint="eastAsia" w:ascii="仿宋" w:hAnsi="仿宋" w:eastAsia="仿宋"/>
          <w:sz w:val="30"/>
          <w:szCs w:val="30"/>
        </w:rPr>
        <w:t>释放依赖流量的APP和应用、运营、服务价值</w:t>
      </w:r>
    </w:p>
    <w:p>
      <w:pPr>
        <w:ind w:left="840"/>
        <w:rPr>
          <w:rFonts w:ascii="仿宋" w:hAnsi="仿宋" w:eastAsia="仿宋"/>
          <w:sz w:val="30"/>
          <w:szCs w:val="30"/>
        </w:rPr>
      </w:pPr>
      <w:r>
        <w:rPr>
          <w:rFonts w:hint="eastAsia" w:ascii="仿宋" w:hAnsi="仿宋" w:eastAsia="仿宋"/>
          <w:sz w:val="30"/>
          <w:szCs w:val="30"/>
        </w:rPr>
        <w:t>帮助物流从业车辆和司机多赚钱为服务目标，且有专业解决方案</w:t>
      </w:r>
    </w:p>
    <w:p>
      <w:pPr>
        <w:ind w:left="840"/>
        <w:rPr>
          <w:rFonts w:ascii="仿宋" w:hAnsi="仿宋" w:eastAsia="仿宋"/>
          <w:sz w:val="30"/>
          <w:szCs w:val="30"/>
        </w:rPr>
      </w:pPr>
      <w:r>
        <w:rPr>
          <w:rFonts w:hint="eastAsia" w:ascii="仿宋" w:hAnsi="仿宋" w:eastAsia="仿宋"/>
          <w:sz w:val="30"/>
          <w:szCs w:val="30"/>
        </w:rPr>
        <w:t>自身能建立与免流名单无冲突关系的大流量活跃应用，成为免流名单APP的助力</w:t>
      </w:r>
    </w:p>
    <w:p>
      <w:pPr>
        <w:ind w:left="840"/>
        <w:rPr>
          <w:rFonts w:ascii="仿宋" w:hAnsi="仿宋" w:eastAsia="仿宋"/>
          <w:sz w:val="30"/>
          <w:szCs w:val="30"/>
        </w:rPr>
      </w:pPr>
      <w:r>
        <w:rPr>
          <w:rFonts w:hint="eastAsia" w:ascii="仿宋" w:hAnsi="仿宋" w:eastAsia="仿宋"/>
          <w:sz w:val="30"/>
          <w:szCs w:val="30"/>
        </w:rPr>
        <w:t>不仅帮助免流名单APP推广、深挖应用，还帮助免流名单APP增加在线时长和活跃度</w:t>
      </w:r>
    </w:p>
    <w:p>
      <w:pPr>
        <w:ind w:left="840"/>
        <w:rPr>
          <w:rFonts w:ascii="仿宋" w:hAnsi="仿宋" w:eastAsia="仿宋"/>
          <w:sz w:val="30"/>
          <w:szCs w:val="30"/>
        </w:rPr>
      </w:pPr>
      <w:r>
        <w:rPr>
          <w:rFonts w:hint="eastAsia" w:ascii="仿宋" w:hAnsi="仿宋" w:eastAsia="仿宋"/>
          <w:sz w:val="30"/>
          <w:szCs w:val="30"/>
        </w:rPr>
        <w:t>为同业合作、异业合作大开方便之门</w:t>
      </w:r>
    </w:p>
    <w:p>
      <w:pPr>
        <w:ind w:firstLine="420"/>
        <w:rPr>
          <w:rFonts w:ascii="仿宋" w:hAnsi="仿宋" w:eastAsia="仿宋"/>
          <w:sz w:val="30"/>
          <w:szCs w:val="30"/>
        </w:rPr>
      </w:pPr>
      <w:r>
        <w:rPr>
          <w:rFonts w:hint="eastAsia" w:ascii="仿宋" w:hAnsi="仿宋" w:eastAsia="仿宋"/>
          <w:sz w:val="30"/>
          <w:szCs w:val="30"/>
        </w:rPr>
        <w:t>大路卡解除了物流业APP应用、推广和行业运营的流量成本制约，帮助物流业深度挖掘应用和数据价值，促进行业发展和应用升级，并可提前布局5G、共谋未来。</w:t>
      </w:r>
    </w:p>
    <w:p>
      <w:pPr>
        <w:ind w:firstLine="420"/>
        <w:rPr>
          <w:rFonts w:ascii="仿宋" w:hAnsi="仿宋" w:eastAsia="仿宋"/>
          <w:sz w:val="30"/>
          <w:szCs w:val="30"/>
        </w:rPr>
      </w:pPr>
      <w:r>
        <w:rPr>
          <w:rFonts w:hint="eastAsia" w:ascii="仿宋" w:hAnsi="仿宋" w:eastAsia="仿宋"/>
          <w:sz w:val="30"/>
          <w:szCs w:val="30"/>
        </w:rPr>
        <w:t>大路卡适合业务繁忙、高成长、创新型目标用户群体——越繁忙 越需要——这一群体，是物流产业未来巨头之温床。</w:t>
      </w:r>
    </w:p>
    <w:p>
      <w:pPr>
        <w:ind w:firstLine="420"/>
        <w:rPr>
          <w:rFonts w:ascii="仿宋" w:hAnsi="仿宋" w:eastAsia="仿宋"/>
          <w:sz w:val="30"/>
          <w:szCs w:val="30"/>
        </w:rPr>
      </w:pPr>
      <w:r>
        <w:rPr>
          <w:rFonts w:hint="eastAsia" w:ascii="仿宋" w:hAnsi="仿宋" w:eastAsia="仿宋"/>
          <w:sz w:val="30"/>
          <w:szCs w:val="30"/>
        </w:rPr>
        <w:t>大路卡比联通发行1.1亿张的腾讯大王卡，有更多的突破</w:t>
      </w:r>
    </w:p>
    <w:p>
      <w:pPr>
        <w:ind w:left="840"/>
        <w:rPr>
          <w:rFonts w:ascii="仿宋" w:hAnsi="仿宋" w:eastAsia="仿宋"/>
          <w:sz w:val="30"/>
          <w:szCs w:val="30"/>
        </w:rPr>
      </w:pPr>
      <w:r>
        <w:rPr>
          <w:rFonts w:hint="eastAsia" w:ascii="仿宋" w:hAnsi="仿宋" w:eastAsia="仿宋"/>
          <w:sz w:val="30"/>
          <w:szCs w:val="30"/>
        </w:rPr>
        <w:t>免流量费是不限流量、不限网速，鼓励使用</w:t>
      </w:r>
    </w:p>
    <w:p>
      <w:pPr>
        <w:ind w:left="840"/>
        <w:rPr>
          <w:rFonts w:ascii="仿宋" w:hAnsi="仿宋" w:eastAsia="仿宋"/>
          <w:sz w:val="30"/>
          <w:szCs w:val="30"/>
        </w:rPr>
      </w:pPr>
      <w:r>
        <w:rPr>
          <w:rFonts w:hint="eastAsia" w:ascii="仿宋" w:hAnsi="仿宋" w:eastAsia="仿宋"/>
          <w:sz w:val="30"/>
          <w:szCs w:val="30"/>
        </w:rPr>
        <w:t>免流名单管理，不限阵营、不限资本背景、不限是生产还是生活应用</w:t>
      </w:r>
    </w:p>
    <w:p>
      <w:pPr>
        <w:ind w:left="840"/>
        <w:rPr>
          <w:rFonts w:ascii="仿宋" w:hAnsi="仿宋" w:eastAsia="仿宋"/>
          <w:sz w:val="30"/>
          <w:szCs w:val="30"/>
        </w:rPr>
      </w:pPr>
      <w:r>
        <w:rPr>
          <w:rFonts w:hint="eastAsia" w:ascii="仿宋" w:hAnsi="仿宋" w:eastAsia="仿宋"/>
          <w:sz w:val="30"/>
          <w:szCs w:val="30"/>
        </w:rPr>
        <w:t>费用上不挖坑、使用户费用真正降低、使用量激增</w:t>
      </w:r>
    </w:p>
    <w:p>
      <w:pPr>
        <w:ind w:left="840"/>
        <w:rPr>
          <w:rFonts w:ascii="仿宋" w:hAnsi="仿宋" w:eastAsia="仿宋"/>
          <w:sz w:val="30"/>
          <w:szCs w:val="30"/>
        </w:rPr>
      </w:pPr>
      <w:r>
        <w:rPr>
          <w:rFonts w:hint="eastAsia" w:ascii="仿宋" w:hAnsi="仿宋" w:eastAsia="仿宋"/>
          <w:sz w:val="30"/>
          <w:szCs w:val="30"/>
        </w:rPr>
        <w:t>成长性由用户需求、社会趋势、产业进步、技术升级、国家政策鼓励驱动</w:t>
      </w:r>
    </w:p>
    <w:p>
      <w:pPr>
        <w:ind w:firstLine="420"/>
        <w:rPr>
          <w:rFonts w:ascii="仿宋" w:hAnsi="仿宋" w:eastAsia="仿宋"/>
          <w:sz w:val="30"/>
          <w:szCs w:val="30"/>
        </w:rPr>
      </w:pPr>
      <w:r>
        <w:rPr>
          <w:rFonts w:hint="eastAsia" w:ascii="仿宋" w:hAnsi="仿宋" w:eastAsia="仿宋"/>
          <w:sz w:val="30"/>
          <w:szCs w:val="30"/>
        </w:rPr>
        <w:t>大路卡免流量的免流名单规则是：</w:t>
      </w:r>
    </w:p>
    <w:p>
      <w:pPr>
        <w:ind w:left="840"/>
        <w:rPr>
          <w:rFonts w:ascii="仿宋" w:hAnsi="仿宋" w:eastAsia="仿宋"/>
          <w:b/>
          <w:bCs/>
          <w:sz w:val="30"/>
          <w:szCs w:val="30"/>
        </w:rPr>
      </w:pPr>
      <w:r>
        <w:rPr>
          <w:rFonts w:hint="eastAsia" w:ascii="仿宋" w:hAnsi="仿宋" w:eastAsia="仿宋"/>
          <w:b/>
          <w:bCs/>
          <w:sz w:val="30"/>
          <w:szCs w:val="30"/>
        </w:rPr>
        <w:t>属于物流行业生产、生活所用</w:t>
      </w:r>
    </w:p>
    <w:p>
      <w:pPr>
        <w:ind w:left="840"/>
        <w:rPr>
          <w:rFonts w:ascii="仿宋" w:hAnsi="仿宋" w:eastAsia="仿宋"/>
          <w:b/>
          <w:bCs/>
          <w:sz w:val="30"/>
          <w:szCs w:val="30"/>
        </w:rPr>
      </w:pPr>
      <w:r>
        <w:rPr>
          <w:rFonts w:hint="eastAsia" w:ascii="仿宋" w:hAnsi="仿宋" w:eastAsia="仿宋"/>
          <w:b/>
          <w:bCs/>
          <w:sz w:val="30"/>
          <w:szCs w:val="30"/>
        </w:rPr>
        <w:t>符合法律法规和社会价值取向</w:t>
      </w:r>
    </w:p>
    <w:p>
      <w:pPr>
        <w:ind w:left="840"/>
        <w:rPr>
          <w:rFonts w:ascii="仿宋" w:hAnsi="仿宋" w:eastAsia="仿宋"/>
          <w:b/>
          <w:bCs/>
          <w:sz w:val="30"/>
          <w:szCs w:val="30"/>
        </w:rPr>
      </w:pPr>
      <w:r>
        <w:rPr>
          <w:rFonts w:hint="eastAsia" w:ascii="仿宋" w:hAnsi="仿宋" w:eastAsia="仿宋"/>
          <w:b/>
          <w:bCs/>
          <w:sz w:val="30"/>
          <w:szCs w:val="30"/>
        </w:rPr>
        <w:t>能够解放或提升物流业生产力</w:t>
      </w:r>
    </w:p>
    <w:p>
      <w:pPr>
        <w:ind w:left="840"/>
        <w:rPr>
          <w:rFonts w:ascii="仿宋" w:hAnsi="仿宋" w:eastAsia="仿宋"/>
          <w:b/>
          <w:bCs/>
          <w:sz w:val="30"/>
          <w:szCs w:val="30"/>
        </w:rPr>
      </w:pPr>
      <w:r>
        <w:rPr>
          <w:rFonts w:hint="eastAsia" w:ascii="仿宋" w:hAnsi="仿宋" w:eastAsia="仿宋"/>
          <w:b/>
          <w:bCs/>
          <w:sz w:val="30"/>
          <w:szCs w:val="30"/>
        </w:rPr>
        <w:t>或能够使物流人身心愉悦健康</w:t>
      </w:r>
    </w:p>
    <w:p>
      <w:pPr>
        <w:ind w:left="840"/>
        <w:rPr>
          <w:rFonts w:ascii="仿宋" w:hAnsi="仿宋" w:eastAsia="仿宋"/>
          <w:b/>
          <w:bCs/>
          <w:sz w:val="30"/>
          <w:szCs w:val="30"/>
        </w:rPr>
      </w:pPr>
      <w:r>
        <w:rPr>
          <w:rFonts w:hint="eastAsia" w:ascii="仿宋" w:hAnsi="仿宋" w:eastAsia="仿宋"/>
          <w:b/>
          <w:bCs/>
          <w:sz w:val="30"/>
          <w:szCs w:val="30"/>
        </w:rPr>
        <w:t>自主申请和邀约加入，并通过审核</w:t>
      </w:r>
    </w:p>
    <w:p>
      <w:pPr>
        <w:ind w:left="840"/>
        <w:rPr>
          <w:rFonts w:ascii="仿宋" w:hAnsi="仿宋" w:eastAsia="仿宋"/>
          <w:b/>
          <w:bCs/>
          <w:sz w:val="30"/>
          <w:szCs w:val="30"/>
        </w:rPr>
      </w:pPr>
    </w:p>
    <w:p>
      <w:pPr>
        <w:ind w:firstLine="420"/>
        <w:rPr>
          <w:rFonts w:ascii="仿宋" w:hAnsi="仿宋" w:eastAsia="仿宋"/>
          <w:sz w:val="30"/>
          <w:szCs w:val="30"/>
        </w:rPr>
      </w:pPr>
      <w:r>
        <w:rPr>
          <w:rFonts w:hint="eastAsia" w:ascii="仿宋" w:hAnsi="仿宋" w:eastAsia="仿宋"/>
          <w:sz w:val="30"/>
          <w:szCs w:val="30"/>
        </w:rPr>
        <w:t>凡符合上述标准的APP，都适合加入大路卡APP免流名单的应用，目前中国物流与采购联合会网络事业部已向各合作伙伴开放加入大路卡APP免流名单邀约和审批工作，联系方式是：</w:t>
      </w:r>
    </w:p>
    <w:p>
      <w:pPr>
        <w:ind w:firstLine="420"/>
        <w:rPr>
          <w:rFonts w:ascii="仿宋" w:hAnsi="仿宋" w:eastAsia="仿宋"/>
          <w:sz w:val="30"/>
          <w:szCs w:val="30"/>
        </w:rPr>
      </w:pPr>
      <w:r>
        <w:rPr>
          <w:rFonts w:hint="eastAsia" w:ascii="仿宋" w:hAnsi="仿宋" w:eastAsia="仿宋"/>
          <w:sz w:val="30"/>
          <w:szCs w:val="30"/>
        </w:rPr>
        <w:t xml:space="preserve">联系人：郑易非 联系电话：15901277360  </w:t>
      </w:r>
    </w:p>
    <w:p>
      <w:pPr>
        <w:ind w:firstLine="420"/>
        <w:rPr>
          <w:rFonts w:ascii="仿宋" w:hAnsi="仿宋" w:eastAsia="仿宋"/>
          <w:sz w:val="30"/>
          <w:szCs w:val="30"/>
        </w:rPr>
      </w:pPr>
      <w:r>
        <w:rPr>
          <w:rFonts w:hint="eastAsia" w:ascii="仿宋" w:hAnsi="仿宋" w:eastAsia="仿宋"/>
          <w:sz w:val="30"/>
          <w:szCs w:val="30"/>
        </w:rPr>
        <w:t>EMAIL：</w:t>
      </w:r>
      <w:r>
        <w:fldChar w:fldCharType="begin"/>
      </w:r>
      <w:r>
        <w:instrText xml:space="preserve"> HYPERLINK "mailto:cflpwlb@chinawuliu.com.cn" </w:instrText>
      </w:r>
      <w:r>
        <w:fldChar w:fldCharType="separate"/>
      </w:r>
      <w:r>
        <w:rPr>
          <w:rStyle w:val="15"/>
          <w:rFonts w:hint="eastAsia" w:ascii="仿宋" w:hAnsi="仿宋" w:eastAsia="仿宋"/>
          <w:sz w:val="30"/>
          <w:szCs w:val="30"/>
        </w:rPr>
        <w:t>cflpwlb@chinawuliu.com.cn</w:t>
      </w:r>
      <w:r>
        <w:rPr>
          <w:rStyle w:val="15"/>
          <w:rFonts w:hint="eastAsia" w:ascii="仿宋" w:hAnsi="仿宋" w:eastAsia="仿宋"/>
          <w:sz w:val="30"/>
          <w:szCs w:val="30"/>
        </w:rPr>
        <w:fldChar w:fldCharType="end"/>
      </w:r>
      <w:r>
        <w:rPr>
          <w:rFonts w:hint="eastAsia" w:ascii="仿宋" w:hAnsi="仿宋" w:eastAsia="仿宋"/>
          <w:sz w:val="30"/>
          <w:szCs w:val="30"/>
        </w:rPr>
        <w:t xml:space="preserve"> </w:t>
      </w:r>
    </w:p>
    <w:p>
      <w:pPr>
        <w:rPr>
          <w:rFonts w:ascii="仿宋" w:hAnsi="仿宋" w:eastAsia="仿宋"/>
          <w:sz w:val="30"/>
          <w:szCs w:val="30"/>
        </w:rPr>
      </w:pPr>
    </w:p>
    <w:p>
      <w:pPr>
        <w:ind w:firstLine="420"/>
        <w:rPr>
          <w:rFonts w:ascii="仿宋" w:hAnsi="仿宋" w:eastAsia="仿宋"/>
          <w:b/>
          <w:bCs/>
          <w:sz w:val="30"/>
          <w:szCs w:val="30"/>
        </w:rPr>
      </w:pPr>
      <w:r>
        <w:rPr>
          <w:rFonts w:hint="eastAsia" w:ascii="仿宋" w:hAnsi="仿宋" w:eastAsia="仿宋"/>
          <w:b/>
          <w:bCs/>
          <w:sz w:val="30"/>
          <w:szCs w:val="30"/>
        </w:rPr>
        <w:t>附：大路卡资费标准：</w:t>
      </w:r>
    </w:p>
    <w:p>
      <w:pPr>
        <w:numPr>
          <w:ilvl w:val="0"/>
          <w:numId w:val="3"/>
        </w:numPr>
        <w:ind w:left="1260"/>
        <w:rPr>
          <w:rFonts w:ascii="仿宋" w:hAnsi="仿宋" w:eastAsia="仿宋"/>
          <w:sz w:val="30"/>
          <w:szCs w:val="30"/>
        </w:rPr>
      </w:pPr>
      <w:r>
        <w:rPr>
          <w:rFonts w:hint="eastAsia" w:ascii="仿宋" w:hAnsi="仿宋" w:eastAsia="仿宋"/>
          <w:sz w:val="30"/>
          <w:szCs w:val="30"/>
        </w:rPr>
        <w:t>物流行业生产、生活所用APP，免流名单内免流量费，不限流量、不限网速、不限阵营，导航、业务、娱乐、视频敞开用，目测已达数百种；</w:t>
      </w:r>
    </w:p>
    <w:p>
      <w:pPr>
        <w:numPr>
          <w:ilvl w:val="0"/>
          <w:numId w:val="3"/>
        </w:numPr>
        <w:ind w:left="1260"/>
        <w:rPr>
          <w:rFonts w:ascii="仿宋" w:hAnsi="仿宋" w:eastAsia="仿宋"/>
          <w:sz w:val="30"/>
          <w:szCs w:val="30"/>
        </w:rPr>
      </w:pPr>
      <w:r>
        <w:rPr>
          <w:rFonts w:hint="eastAsia" w:ascii="仿宋" w:hAnsi="仿宋" w:eastAsia="仿宋"/>
          <w:sz w:val="30"/>
          <w:szCs w:val="30"/>
        </w:rPr>
        <w:t>大路卡之间通话费全部免费，不限单位、不限办卡途径、不限地理区位；</w:t>
      </w:r>
    </w:p>
    <w:p>
      <w:pPr>
        <w:numPr>
          <w:ilvl w:val="0"/>
          <w:numId w:val="3"/>
        </w:numPr>
        <w:ind w:left="1260"/>
        <w:rPr>
          <w:rFonts w:ascii="仿宋" w:hAnsi="仿宋" w:eastAsia="仿宋"/>
          <w:sz w:val="30"/>
          <w:szCs w:val="30"/>
        </w:rPr>
      </w:pPr>
      <w:r>
        <w:rPr>
          <w:rFonts w:hint="eastAsia" w:ascii="仿宋" w:hAnsi="仿宋" w:eastAsia="仿宋"/>
          <w:sz w:val="30"/>
          <w:szCs w:val="30"/>
        </w:rPr>
        <w:t>使用费用19元/月，除上述免流量、免话费外，含100分钟外部通话费（超出部分0.1元/分钟）、含免流名单外的其它应用流量1G（超出部分1元/G）；</w:t>
      </w:r>
    </w:p>
    <w:p>
      <w:pPr>
        <w:numPr>
          <w:ilvl w:val="0"/>
          <w:numId w:val="3"/>
        </w:numPr>
        <w:ind w:left="1260"/>
        <w:rPr>
          <w:rFonts w:ascii="仿宋" w:hAnsi="仿宋" w:eastAsia="仿宋"/>
          <w:sz w:val="30"/>
          <w:szCs w:val="30"/>
        </w:rPr>
      </w:pPr>
      <w:r>
        <w:rPr>
          <w:rFonts w:hint="eastAsia" w:ascii="仿宋" w:hAnsi="仿宋" w:eastAsia="仿宋"/>
          <w:sz w:val="30"/>
          <w:szCs w:val="30"/>
        </w:rPr>
        <w:t>激活并充值，首月话费免结算，首充话费50送50——只花50元、号码套餐用半年（激活后）；</w:t>
      </w:r>
    </w:p>
    <w:p>
      <w:pPr>
        <w:numPr>
          <w:ilvl w:val="0"/>
          <w:numId w:val="3"/>
        </w:numPr>
        <w:ind w:left="1260"/>
        <w:rPr>
          <w:rFonts w:ascii="仿宋" w:hAnsi="仿宋" w:eastAsia="仿宋"/>
          <w:sz w:val="30"/>
          <w:szCs w:val="30"/>
        </w:rPr>
      </w:pPr>
    </w:p>
    <w:tbl>
      <w:tblPr>
        <w:tblStyle w:val="12"/>
        <w:tblW w:w="9091" w:type="dxa"/>
        <w:jc w:val="center"/>
        <w:tblInd w:w="0" w:type="dxa"/>
        <w:tblLayout w:type="fixed"/>
        <w:tblCellMar>
          <w:top w:w="15" w:type="dxa"/>
          <w:left w:w="15" w:type="dxa"/>
          <w:bottom w:w="15" w:type="dxa"/>
          <w:right w:w="15" w:type="dxa"/>
        </w:tblCellMar>
      </w:tblPr>
      <w:tblGrid>
        <w:gridCol w:w="9091"/>
      </w:tblGrid>
      <w:tr>
        <w:tblPrEx>
          <w:tblLayout w:type="fixed"/>
          <w:tblCellMar>
            <w:top w:w="15" w:type="dxa"/>
            <w:left w:w="15" w:type="dxa"/>
            <w:bottom w:w="15" w:type="dxa"/>
            <w:right w:w="15" w:type="dxa"/>
          </w:tblCellMar>
        </w:tblPrEx>
        <w:trPr>
          <w:trHeight w:val="313" w:hRule="atLeast"/>
          <w:jc w:val="center"/>
        </w:trPr>
        <w:tc>
          <w:tcPr>
            <w:tcW w:w="9091" w:type="dxa"/>
            <w:shd w:val="clear" w:color="auto" w:fill="auto"/>
            <w:vAlign w:val="center"/>
          </w:tcPr>
          <w:p>
            <w:pPr>
              <w:widowControl/>
              <w:jc w:val="left"/>
              <w:textAlignment w:val="center"/>
              <w:rPr>
                <w:rFonts w:ascii="宋体" w:hAnsi="宋体" w:eastAsia="宋体" w:cs="宋体"/>
                <w:b/>
                <w:color w:val="000000"/>
                <w:sz w:val="28"/>
                <w:szCs w:val="28"/>
              </w:rPr>
            </w:pPr>
            <w:r>
              <w:rPr>
                <w:rFonts w:hint="eastAsia" w:ascii="宋体" w:hAnsi="宋体" w:eastAsia="宋体" w:cs="宋体"/>
                <w:b/>
                <w:color w:val="000000"/>
                <w:sz w:val="28"/>
                <w:szCs w:val="28"/>
              </w:rPr>
              <w:t>附件</w:t>
            </w:r>
            <w:r>
              <w:rPr>
                <w:rFonts w:hint="eastAsia" w:ascii="宋体" w:hAnsi="宋体" w:eastAsia="宋体" w:cs="宋体"/>
                <w:b/>
                <w:color w:val="000000"/>
                <w:sz w:val="28"/>
                <w:szCs w:val="28"/>
                <w:lang w:val="en-US" w:eastAsia="zh-CN"/>
              </w:rPr>
              <w:t>2</w:t>
            </w:r>
            <w:r>
              <w:rPr>
                <w:rFonts w:hint="eastAsia" w:ascii="宋体" w:hAnsi="宋体" w:eastAsia="宋体" w:cs="宋体"/>
                <w:b/>
                <w:color w:val="000000"/>
                <w:sz w:val="28"/>
                <w:szCs w:val="28"/>
              </w:rPr>
              <w:t>：</w:t>
            </w:r>
            <w:r>
              <w:rPr>
                <w:rFonts w:ascii="宋体" w:hAnsi="宋体" w:eastAsia="宋体" w:cs="宋体"/>
                <w:b/>
                <w:color w:val="000000"/>
                <w:sz w:val="28"/>
                <w:szCs w:val="28"/>
              </w:rPr>
              <w:t xml:space="preserve"> </w:t>
            </w:r>
          </w:p>
        </w:tc>
      </w:tr>
      <w:tr>
        <w:tblPrEx>
          <w:tblLayout w:type="fixed"/>
          <w:tblCellMar>
            <w:top w:w="15" w:type="dxa"/>
            <w:left w:w="15" w:type="dxa"/>
            <w:bottom w:w="15" w:type="dxa"/>
            <w:right w:w="15" w:type="dxa"/>
          </w:tblCellMar>
        </w:tblPrEx>
        <w:trPr>
          <w:trHeight w:val="565" w:hRule="atLeast"/>
          <w:jc w:val="center"/>
        </w:trPr>
        <w:tc>
          <w:tcPr>
            <w:tcW w:w="9091" w:type="dxa"/>
            <w:shd w:val="clear" w:color="auto" w:fill="auto"/>
            <w:vAlign w:val="center"/>
          </w:tcPr>
          <w:p>
            <w:pPr>
              <w:widowControl/>
              <w:jc w:val="center"/>
              <w:textAlignment w:val="center"/>
              <w:rPr>
                <w:rFonts w:ascii="宋体" w:hAnsi="宋体" w:eastAsia="宋体" w:cs="宋体"/>
                <w:b/>
                <w:color w:val="000000"/>
                <w:kern w:val="0"/>
                <w:sz w:val="28"/>
                <w:szCs w:val="28"/>
                <w:lang w:bidi="ar"/>
              </w:rPr>
            </w:pPr>
            <w:r>
              <w:rPr>
                <w:rFonts w:hint="eastAsia" w:ascii="宋体" w:hAnsi="宋体" w:eastAsia="宋体" w:cs="宋体"/>
                <w:b/>
                <w:color w:val="000000"/>
                <w:kern w:val="0"/>
                <w:sz w:val="28"/>
                <w:szCs w:val="28"/>
                <w:lang w:bidi="ar"/>
              </w:rPr>
              <w:t>加入大路卡APP免流名单申请表</w:t>
            </w:r>
          </w:p>
          <w:tbl>
            <w:tblPr>
              <w:tblStyle w:val="13"/>
              <w:tblW w:w="904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9"/>
              <w:gridCol w:w="1569"/>
              <w:gridCol w:w="1418"/>
              <w:gridCol w:w="1559"/>
              <w:gridCol w:w="1022"/>
              <w:gridCol w:w="16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09" w:type="dxa"/>
                </w:tcPr>
                <w:p>
                  <w:pPr>
                    <w:widowControl/>
                    <w:jc w:val="center"/>
                    <w:textAlignment w:val="center"/>
                    <w:rPr>
                      <w:rFonts w:ascii="宋体" w:hAnsi="宋体" w:eastAsia="宋体" w:cs="宋体"/>
                      <w:b/>
                      <w:color w:val="000000"/>
                      <w:sz w:val="28"/>
                      <w:szCs w:val="28"/>
                    </w:rPr>
                  </w:pPr>
                  <w:r>
                    <w:rPr>
                      <w:rFonts w:hint="eastAsia" w:ascii="宋体" w:hAnsi="宋体" w:eastAsia="宋体" w:cs="宋体"/>
                      <w:color w:val="000000"/>
                      <w:kern w:val="0"/>
                      <w:sz w:val="28"/>
                      <w:szCs w:val="28"/>
                      <w:lang w:bidi="ar"/>
                    </w:rPr>
                    <w:t>单位名称</w:t>
                  </w:r>
                </w:p>
              </w:tc>
              <w:tc>
                <w:tcPr>
                  <w:tcW w:w="7237" w:type="dxa"/>
                  <w:gridSpan w:val="5"/>
                </w:tcPr>
                <w:p>
                  <w:pPr>
                    <w:widowControl/>
                    <w:jc w:val="center"/>
                    <w:textAlignment w:val="center"/>
                    <w:rPr>
                      <w:rFonts w:ascii="宋体" w:hAnsi="宋体" w:eastAsia="宋体" w:cs="宋体"/>
                      <w:b/>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09" w:type="dxa"/>
                </w:tcPr>
                <w:p>
                  <w:pPr>
                    <w:widowControl/>
                    <w:jc w:val="center"/>
                    <w:textAlignment w:val="center"/>
                    <w:rPr>
                      <w:rFonts w:ascii="宋体" w:hAnsi="宋体" w:eastAsia="宋体" w:cs="宋体"/>
                      <w:b/>
                      <w:color w:val="000000"/>
                      <w:sz w:val="28"/>
                      <w:szCs w:val="28"/>
                    </w:rPr>
                  </w:pPr>
                  <w:r>
                    <w:rPr>
                      <w:rFonts w:hint="eastAsia" w:ascii="宋体" w:hAnsi="宋体" w:eastAsia="宋体" w:cs="宋体"/>
                      <w:color w:val="000000"/>
                      <w:kern w:val="0"/>
                      <w:sz w:val="28"/>
                      <w:szCs w:val="28"/>
                      <w:lang w:bidi="ar"/>
                    </w:rPr>
                    <w:t>法人代表</w:t>
                  </w:r>
                </w:p>
              </w:tc>
              <w:tc>
                <w:tcPr>
                  <w:tcW w:w="1569" w:type="dxa"/>
                </w:tcPr>
                <w:p>
                  <w:pPr>
                    <w:widowControl/>
                    <w:jc w:val="center"/>
                    <w:textAlignment w:val="center"/>
                    <w:rPr>
                      <w:rFonts w:ascii="宋体" w:hAnsi="宋体" w:eastAsia="宋体" w:cs="宋体"/>
                      <w:b/>
                      <w:color w:val="000000"/>
                      <w:sz w:val="28"/>
                      <w:szCs w:val="28"/>
                    </w:rPr>
                  </w:pPr>
                </w:p>
              </w:tc>
              <w:tc>
                <w:tcPr>
                  <w:tcW w:w="1418" w:type="dxa"/>
                </w:tcPr>
                <w:p>
                  <w:pPr>
                    <w:widowControl/>
                    <w:jc w:val="center"/>
                    <w:textAlignment w:val="center"/>
                    <w:rPr>
                      <w:rFonts w:ascii="宋体" w:hAnsi="宋体" w:eastAsia="宋体" w:cs="宋体"/>
                      <w:color w:val="000000"/>
                      <w:sz w:val="28"/>
                      <w:szCs w:val="28"/>
                    </w:rPr>
                  </w:pPr>
                  <w:r>
                    <w:rPr>
                      <w:rFonts w:hint="eastAsia" w:ascii="宋体" w:hAnsi="宋体" w:eastAsia="宋体" w:cs="宋体"/>
                      <w:color w:val="000000"/>
                      <w:sz w:val="28"/>
                      <w:szCs w:val="28"/>
                    </w:rPr>
                    <w:t>主营业务</w:t>
                  </w:r>
                </w:p>
              </w:tc>
              <w:tc>
                <w:tcPr>
                  <w:tcW w:w="4250" w:type="dxa"/>
                  <w:gridSpan w:val="3"/>
                </w:tcPr>
                <w:p>
                  <w:pPr>
                    <w:widowControl/>
                    <w:jc w:val="center"/>
                    <w:textAlignment w:val="center"/>
                    <w:rPr>
                      <w:rFonts w:ascii="宋体" w:hAnsi="宋体" w:eastAsia="宋体" w:cs="宋体"/>
                      <w:b/>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09" w:type="dxa"/>
                </w:tcPr>
                <w:p>
                  <w:pPr>
                    <w:widowControl/>
                    <w:jc w:val="center"/>
                    <w:textAlignment w:val="center"/>
                    <w:rPr>
                      <w:rFonts w:ascii="宋体" w:hAnsi="宋体" w:eastAsia="宋体" w:cs="宋体"/>
                      <w:b/>
                      <w:color w:val="000000"/>
                      <w:sz w:val="28"/>
                      <w:szCs w:val="28"/>
                    </w:rPr>
                  </w:pPr>
                  <w:r>
                    <w:rPr>
                      <w:rFonts w:hint="eastAsia" w:ascii="宋体" w:hAnsi="宋体" w:eastAsia="宋体" w:cs="宋体"/>
                      <w:color w:val="000000"/>
                      <w:sz w:val="28"/>
                      <w:szCs w:val="28"/>
                    </w:rPr>
                    <w:t>联系人</w:t>
                  </w:r>
                </w:p>
              </w:tc>
              <w:tc>
                <w:tcPr>
                  <w:tcW w:w="1569" w:type="dxa"/>
                </w:tcPr>
                <w:p>
                  <w:pPr>
                    <w:widowControl/>
                    <w:jc w:val="center"/>
                    <w:textAlignment w:val="center"/>
                    <w:rPr>
                      <w:rFonts w:ascii="宋体" w:hAnsi="宋体" w:eastAsia="宋体" w:cs="宋体"/>
                      <w:b/>
                      <w:color w:val="000000"/>
                      <w:sz w:val="28"/>
                      <w:szCs w:val="28"/>
                    </w:rPr>
                  </w:pPr>
                </w:p>
              </w:tc>
              <w:tc>
                <w:tcPr>
                  <w:tcW w:w="1418" w:type="dxa"/>
                </w:tcPr>
                <w:p>
                  <w:pPr>
                    <w:widowControl/>
                    <w:jc w:val="center"/>
                    <w:textAlignment w:val="center"/>
                    <w:rPr>
                      <w:rFonts w:ascii="宋体" w:hAnsi="宋体" w:eastAsia="宋体" w:cs="宋体"/>
                      <w:b/>
                      <w:color w:val="000000"/>
                      <w:sz w:val="28"/>
                      <w:szCs w:val="28"/>
                    </w:rPr>
                  </w:pPr>
                  <w:r>
                    <w:rPr>
                      <w:rFonts w:hint="eastAsia" w:ascii="宋体" w:hAnsi="宋体" w:eastAsia="宋体" w:cs="宋体"/>
                      <w:color w:val="000000"/>
                      <w:sz w:val="28"/>
                      <w:szCs w:val="28"/>
                    </w:rPr>
                    <w:t>手机</w:t>
                  </w:r>
                </w:p>
              </w:tc>
              <w:tc>
                <w:tcPr>
                  <w:tcW w:w="1559" w:type="dxa"/>
                </w:tcPr>
                <w:p>
                  <w:pPr>
                    <w:widowControl/>
                    <w:jc w:val="center"/>
                    <w:textAlignment w:val="center"/>
                    <w:rPr>
                      <w:rFonts w:ascii="宋体" w:hAnsi="宋体" w:eastAsia="宋体" w:cs="宋体"/>
                      <w:b/>
                      <w:color w:val="000000"/>
                      <w:sz w:val="28"/>
                      <w:szCs w:val="28"/>
                    </w:rPr>
                  </w:pPr>
                </w:p>
              </w:tc>
              <w:tc>
                <w:tcPr>
                  <w:tcW w:w="1022" w:type="dxa"/>
                </w:tcPr>
                <w:p>
                  <w:pPr>
                    <w:widowControl/>
                    <w:jc w:val="center"/>
                    <w:textAlignment w:val="center"/>
                    <w:rPr>
                      <w:rFonts w:ascii="宋体" w:hAnsi="宋体" w:eastAsia="宋体" w:cs="宋体"/>
                      <w:b/>
                      <w:color w:val="000000"/>
                      <w:sz w:val="28"/>
                      <w:szCs w:val="28"/>
                    </w:rPr>
                  </w:pPr>
                  <w:r>
                    <w:rPr>
                      <w:rFonts w:hint="eastAsia" w:ascii="宋体" w:hAnsi="宋体" w:eastAsia="宋体" w:cs="宋体"/>
                      <w:color w:val="000000"/>
                      <w:sz w:val="28"/>
                      <w:szCs w:val="28"/>
                    </w:rPr>
                    <w:t>EMAIL</w:t>
                  </w:r>
                </w:p>
              </w:tc>
              <w:tc>
                <w:tcPr>
                  <w:tcW w:w="1669" w:type="dxa"/>
                </w:tcPr>
                <w:p>
                  <w:pPr>
                    <w:widowControl/>
                    <w:jc w:val="center"/>
                    <w:textAlignment w:val="center"/>
                    <w:rPr>
                      <w:rFonts w:ascii="宋体" w:hAnsi="宋体" w:eastAsia="宋体" w:cs="宋体"/>
                      <w:b/>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09" w:type="dxa"/>
                </w:tcPr>
                <w:p>
                  <w:pPr>
                    <w:widowControl/>
                    <w:jc w:val="center"/>
                    <w:textAlignment w:val="center"/>
                    <w:rPr>
                      <w:rFonts w:ascii="宋体" w:hAnsi="宋体" w:eastAsia="宋体" w:cs="宋体"/>
                      <w:b/>
                      <w:color w:val="000000"/>
                      <w:sz w:val="28"/>
                      <w:szCs w:val="28"/>
                    </w:rPr>
                  </w:pPr>
                  <w:r>
                    <w:rPr>
                      <w:rFonts w:hint="eastAsia" w:ascii="宋体" w:hAnsi="宋体" w:eastAsia="宋体" w:cs="宋体"/>
                      <w:color w:val="000000"/>
                      <w:kern w:val="0"/>
                      <w:sz w:val="28"/>
                      <w:szCs w:val="28"/>
                      <w:lang w:bidi="ar"/>
                    </w:rPr>
                    <w:t>APP名称</w:t>
                  </w:r>
                </w:p>
              </w:tc>
              <w:tc>
                <w:tcPr>
                  <w:tcW w:w="2987" w:type="dxa"/>
                  <w:gridSpan w:val="2"/>
                </w:tcPr>
                <w:p>
                  <w:pPr>
                    <w:widowControl/>
                    <w:jc w:val="center"/>
                    <w:textAlignment w:val="center"/>
                    <w:rPr>
                      <w:rFonts w:ascii="宋体" w:hAnsi="宋体" w:eastAsia="宋体" w:cs="宋体"/>
                      <w:b/>
                      <w:color w:val="000000"/>
                      <w:sz w:val="28"/>
                      <w:szCs w:val="28"/>
                    </w:rPr>
                  </w:pPr>
                </w:p>
              </w:tc>
              <w:tc>
                <w:tcPr>
                  <w:tcW w:w="1559" w:type="dxa"/>
                </w:tcPr>
                <w:p>
                  <w:pPr>
                    <w:widowControl/>
                    <w:jc w:val="center"/>
                    <w:textAlignment w:val="center"/>
                    <w:rPr>
                      <w:rFonts w:ascii="宋体" w:hAnsi="宋体" w:eastAsia="宋体" w:cs="宋体"/>
                      <w:b/>
                      <w:color w:val="000000"/>
                      <w:sz w:val="28"/>
                      <w:szCs w:val="28"/>
                    </w:rPr>
                  </w:pPr>
                  <w:r>
                    <w:rPr>
                      <w:rFonts w:hint="eastAsia" w:ascii="宋体" w:hAnsi="宋体" w:eastAsia="宋体" w:cs="宋体"/>
                      <w:color w:val="000000"/>
                      <w:kern w:val="0"/>
                      <w:sz w:val="28"/>
                      <w:szCs w:val="28"/>
                      <w:lang w:bidi="ar"/>
                    </w:rPr>
                    <w:t>应用类型</w:t>
                  </w:r>
                </w:p>
              </w:tc>
              <w:tc>
                <w:tcPr>
                  <w:tcW w:w="2691" w:type="dxa"/>
                  <w:gridSpan w:val="2"/>
                </w:tcPr>
                <w:p>
                  <w:pPr>
                    <w:widowControl/>
                    <w:jc w:val="center"/>
                    <w:textAlignment w:val="center"/>
                    <w:rPr>
                      <w:rFonts w:ascii="宋体" w:hAnsi="宋体" w:eastAsia="宋体" w:cs="宋体"/>
                      <w:b/>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09" w:type="dxa"/>
                </w:tcPr>
                <w:p>
                  <w:pPr>
                    <w:widowControl/>
                    <w:jc w:val="center"/>
                    <w:textAlignment w:val="center"/>
                    <w:rPr>
                      <w:rFonts w:ascii="宋体" w:hAnsi="宋体" w:eastAsia="宋体" w:cs="宋体"/>
                      <w:color w:val="000000"/>
                      <w:sz w:val="28"/>
                      <w:szCs w:val="28"/>
                    </w:rPr>
                  </w:pPr>
                  <w:r>
                    <w:rPr>
                      <w:rFonts w:hint="eastAsia" w:ascii="宋体" w:hAnsi="宋体" w:eastAsia="宋体" w:cs="宋体"/>
                      <w:color w:val="000000"/>
                      <w:sz w:val="28"/>
                      <w:szCs w:val="28"/>
                    </w:rPr>
                    <w:t>上线时间</w:t>
                  </w:r>
                </w:p>
              </w:tc>
              <w:tc>
                <w:tcPr>
                  <w:tcW w:w="2987" w:type="dxa"/>
                  <w:gridSpan w:val="2"/>
                </w:tcPr>
                <w:p>
                  <w:pPr>
                    <w:widowControl/>
                    <w:jc w:val="center"/>
                    <w:textAlignment w:val="center"/>
                    <w:rPr>
                      <w:rFonts w:ascii="宋体" w:hAnsi="宋体" w:eastAsia="宋体" w:cs="宋体"/>
                      <w:color w:val="000000"/>
                      <w:sz w:val="28"/>
                      <w:szCs w:val="28"/>
                    </w:rPr>
                  </w:pPr>
                </w:p>
              </w:tc>
              <w:tc>
                <w:tcPr>
                  <w:tcW w:w="1559" w:type="dxa"/>
                </w:tcPr>
                <w:p>
                  <w:pPr>
                    <w:widowControl/>
                    <w:jc w:val="center"/>
                    <w:textAlignment w:val="center"/>
                    <w:rPr>
                      <w:rFonts w:ascii="宋体" w:hAnsi="宋体" w:eastAsia="宋体" w:cs="宋体"/>
                      <w:color w:val="000000"/>
                      <w:sz w:val="28"/>
                      <w:szCs w:val="28"/>
                    </w:rPr>
                  </w:pPr>
                  <w:r>
                    <w:rPr>
                      <w:rFonts w:hint="eastAsia" w:ascii="宋体" w:hAnsi="宋体" w:eastAsia="宋体" w:cs="宋体"/>
                      <w:color w:val="000000"/>
                      <w:sz w:val="28"/>
                      <w:szCs w:val="28"/>
                    </w:rPr>
                    <w:t>用户数（万）</w:t>
                  </w:r>
                </w:p>
              </w:tc>
              <w:tc>
                <w:tcPr>
                  <w:tcW w:w="2691" w:type="dxa"/>
                  <w:gridSpan w:val="2"/>
                </w:tcPr>
                <w:p>
                  <w:pPr>
                    <w:widowControl/>
                    <w:jc w:val="center"/>
                    <w:textAlignment w:val="center"/>
                    <w:rPr>
                      <w:rFonts w:ascii="宋体" w:hAnsi="宋体" w:eastAsia="宋体" w:cs="宋体"/>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09" w:type="dxa"/>
                  <w:vMerge w:val="restart"/>
                </w:tcPr>
                <w:p>
                  <w:pPr>
                    <w:widowControl/>
                    <w:jc w:val="center"/>
                    <w:textAlignment w:val="center"/>
                    <w:rPr>
                      <w:rFonts w:ascii="宋体" w:hAnsi="宋体" w:eastAsia="宋体" w:cs="宋体"/>
                      <w:color w:val="000000"/>
                      <w:sz w:val="28"/>
                      <w:szCs w:val="28"/>
                    </w:rPr>
                  </w:pPr>
                  <w:r>
                    <w:rPr>
                      <w:rFonts w:ascii="宋体" w:hAnsi="宋体" w:eastAsia="宋体" w:cs="宋体"/>
                      <w:color w:val="000000"/>
                      <w:sz w:val="28"/>
                      <w:szCs w:val="28"/>
                    </w:rPr>
                    <w:t>IP</w:t>
                  </w:r>
                  <w:r>
                    <w:rPr>
                      <w:rFonts w:hint="eastAsia" w:ascii="宋体" w:hAnsi="宋体" w:eastAsia="宋体" w:cs="宋体"/>
                      <w:color w:val="000000"/>
                      <w:sz w:val="28"/>
                      <w:szCs w:val="28"/>
                    </w:rPr>
                    <w:t>地址表（如不够，可以另附表格）</w:t>
                  </w:r>
                </w:p>
              </w:tc>
              <w:tc>
                <w:tcPr>
                  <w:tcW w:w="2987" w:type="dxa"/>
                  <w:gridSpan w:val="2"/>
                </w:tcPr>
                <w:p>
                  <w:pPr>
                    <w:widowControl/>
                    <w:jc w:val="center"/>
                    <w:textAlignment w:val="center"/>
                    <w:rPr>
                      <w:rFonts w:ascii="宋体" w:hAnsi="宋体" w:eastAsia="宋体" w:cs="宋体"/>
                      <w:color w:val="000000"/>
                      <w:sz w:val="28"/>
                      <w:szCs w:val="28"/>
                    </w:rPr>
                  </w:pPr>
                </w:p>
              </w:tc>
              <w:tc>
                <w:tcPr>
                  <w:tcW w:w="1559" w:type="dxa"/>
                </w:tcPr>
                <w:p>
                  <w:pPr>
                    <w:widowControl/>
                    <w:jc w:val="center"/>
                    <w:textAlignment w:val="center"/>
                    <w:rPr>
                      <w:rFonts w:ascii="宋体" w:hAnsi="宋体" w:eastAsia="宋体" w:cs="宋体"/>
                      <w:color w:val="000000"/>
                      <w:sz w:val="28"/>
                      <w:szCs w:val="28"/>
                    </w:rPr>
                  </w:pPr>
                </w:p>
              </w:tc>
              <w:tc>
                <w:tcPr>
                  <w:tcW w:w="2691" w:type="dxa"/>
                  <w:gridSpan w:val="2"/>
                </w:tcPr>
                <w:p>
                  <w:pPr>
                    <w:widowControl/>
                    <w:jc w:val="center"/>
                    <w:textAlignment w:val="center"/>
                    <w:rPr>
                      <w:rFonts w:ascii="宋体" w:hAnsi="宋体" w:eastAsia="宋体" w:cs="宋体"/>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09" w:type="dxa"/>
                  <w:vMerge w:val="continue"/>
                </w:tcPr>
                <w:p>
                  <w:pPr>
                    <w:widowControl/>
                    <w:jc w:val="center"/>
                    <w:textAlignment w:val="center"/>
                    <w:rPr>
                      <w:rFonts w:ascii="宋体" w:hAnsi="宋体" w:eastAsia="宋体" w:cs="宋体"/>
                      <w:color w:val="000000"/>
                      <w:sz w:val="28"/>
                      <w:szCs w:val="28"/>
                    </w:rPr>
                  </w:pPr>
                </w:p>
              </w:tc>
              <w:tc>
                <w:tcPr>
                  <w:tcW w:w="2987" w:type="dxa"/>
                  <w:gridSpan w:val="2"/>
                </w:tcPr>
                <w:p>
                  <w:pPr>
                    <w:widowControl/>
                    <w:jc w:val="center"/>
                    <w:textAlignment w:val="center"/>
                    <w:rPr>
                      <w:rFonts w:ascii="宋体" w:hAnsi="宋体" w:eastAsia="宋体" w:cs="宋体"/>
                      <w:color w:val="000000"/>
                      <w:sz w:val="28"/>
                      <w:szCs w:val="28"/>
                    </w:rPr>
                  </w:pPr>
                </w:p>
              </w:tc>
              <w:tc>
                <w:tcPr>
                  <w:tcW w:w="1559" w:type="dxa"/>
                </w:tcPr>
                <w:p>
                  <w:pPr>
                    <w:widowControl/>
                    <w:jc w:val="center"/>
                    <w:textAlignment w:val="center"/>
                    <w:rPr>
                      <w:rFonts w:ascii="宋体" w:hAnsi="宋体" w:eastAsia="宋体" w:cs="宋体"/>
                      <w:color w:val="000000"/>
                      <w:sz w:val="28"/>
                      <w:szCs w:val="28"/>
                    </w:rPr>
                  </w:pPr>
                </w:p>
              </w:tc>
              <w:tc>
                <w:tcPr>
                  <w:tcW w:w="2691" w:type="dxa"/>
                  <w:gridSpan w:val="2"/>
                </w:tcPr>
                <w:p>
                  <w:pPr>
                    <w:widowControl/>
                    <w:jc w:val="center"/>
                    <w:textAlignment w:val="center"/>
                    <w:rPr>
                      <w:rFonts w:ascii="宋体" w:hAnsi="宋体" w:eastAsia="宋体" w:cs="宋体"/>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09" w:type="dxa"/>
                  <w:vMerge w:val="continue"/>
                </w:tcPr>
                <w:p>
                  <w:pPr>
                    <w:widowControl/>
                    <w:jc w:val="center"/>
                    <w:textAlignment w:val="center"/>
                    <w:rPr>
                      <w:rFonts w:ascii="宋体" w:hAnsi="宋体" w:eastAsia="宋体" w:cs="宋体"/>
                      <w:color w:val="000000"/>
                      <w:sz w:val="28"/>
                      <w:szCs w:val="28"/>
                    </w:rPr>
                  </w:pPr>
                </w:p>
              </w:tc>
              <w:tc>
                <w:tcPr>
                  <w:tcW w:w="2987" w:type="dxa"/>
                  <w:gridSpan w:val="2"/>
                </w:tcPr>
                <w:p>
                  <w:pPr>
                    <w:widowControl/>
                    <w:jc w:val="center"/>
                    <w:textAlignment w:val="center"/>
                    <w:rPr>
                      <w:rFonts w:ascii="宋体" w:hAnsi="宋体" w:eastAsia="宋体" w:cs="宋体"/>
                      <w:color w:val="000000"/>
                      <w:sz w:val="28"/>
                      <w:szCs w:val="28"/>
                    </w:rPr>
                  </w:pPr>
                </w:p>
              </w:tc>
              <w:tc>
                <w:tcPr>
                  <w:tcW w:w="1559" w:type="dxa"/>
                </w:tcPr>
                <w:p>
                  <w:pPr>
                    <w:widowControl/>
                    <w:jc w:val="center"/>
                    <w:textAlignment w:val="center"/>
                    <w:rPr>
                      <w:rFonts w:ascii="宋体" w:hAnsi="宋体" w:eastAsia="宋体" w:cs="宋体"/>
                      <w:color w:val="000000"/>
                      <w:sz w:val="28"/>
                      <w:szCs w:val="28"/>
                    </w:rPr>
                  </w:pPr>
                </w:p>
              </w:tc>
              <w:tc>
                <w:tcPr>
                  <w:tcW w:w="2691" w:type="dxa"/>
                  <w:gridSpan w:val="2"/>
                </w:tcPr>
                <w:p>
                  <w:pPr>
                    <w:widowControl/>
                    <w:jc w:val="center"/>
                    <w:textAlignment w:val="center"/>
                    <w:rPr>
                      <w:rFonts w:ascii="宋体" w:hAnsi="宋体" w:eastAsia="宋体" w:cs="宋体"/>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09" w:type="dxa"/>
                  <w:vMerge w:val="continue"/>
                </w:tcPr>
                <w:p>
                  <w:pPr>
                    <w:widowControl/>
                    <w:jc w:val="center"/>
                    <w:textAlignment w:val="center"/>
                    <w:rPr>
                      <w:rFonts w:ascii="宋体" w:hAnsi="宋体" w:eastAsia="宋体" w:cs="宋体"/>
                      <w:color w:val="000000"/>
                      <w:sz w:val="28"/>
                      <w:szCs w:val="28"/>
                    </w:rPr>
                  </w:pPr>
                </w:p>
              </w:tc>
              <w:tc>
                <w:tcPr>
                  <w:tcW w:w="2987" w:type="dxa"/>
                  <w:gridSpan w:val="2"/>
                </w:tcPr>
                <w:p>
                  <w:pPr>
                    <w:widowControl/>
                    <w:jc w:val="center"/>
                    <w:textAlignment w:val="center"/>
                    <w:rPr>
                      <w:rFonts w:ascii="宋体" w:hAnsi="宋体" w:eastAsia="宋体" w:cs="宋体"/>
                      <w:color w:val="000000"/>
                      <w:sz w:val="28"/>
                      <w:szCs w:val="28"/>
                    </w:rPr>
                  </w:pPr>
                </w:p>
              </w:tc>
              <w:tc>
                <w:tcPr>
                  <w:tcW w:w="1559" w:type="dxa"/>
                </w:tcPr>
                <w:p>
                  <w:pPr>
                    <w:widowControl/>
                    <w:jc w:val="center"/>
                    <w:textAlignment w:val="center"/>
                    <w:rPr>
                      <w:rFonts w:ascii="宋体" w:hAnsi="宋体" w:eastAsia="宋体" w:cs="宋体"/>
                      <w:color w:val="000000"/>
                      <w:sz w:val="28"/>
                      <w:szCs w:val="28"/>
                    </w:rPr>
                  </w:pPr>
                </w:p>
              </w:tc>
              <w:tc>
                <w:tcPr>
                  <w:tcW w:w="2691" w:type="dxa"/>
                  <w:gridSpan w:val="2"/>
                </w:tcPr>
                <w:p>
                  <w:pPr>
                    <w:widowControl/>
                    <w:jc w:val="center"/>
                    <w:textAlignment w:val="center"/>
                    <w:rPr>
                      <w:rFonts w:ascii="宋体" w:hAnsi="宋体" w:eastAsia="宋体" w:cs="宋体"/>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45" w:hRule="atLeast"/>
              </w:trPr>
              <w:tc>
                <w:tcPr>
                  <w:tcW w:w="1809" w:type="dxa"/>
                </w:tcPr>
                <w:p>
                  <w:pPr>
                    <w:widowControl/>
                    <w:jc w:val="center"/>
                    <w:textAlignment w:val="center"/>
                    <w:rPr>
                      <w:rFonts w:ascii="宋体" w:hAnsi="宋体" w:eastAsia="宋体" w:cs="宋体"/>
                      <w:color w:val="000000"/>
                      <w:sz w:val="28"/>
                      <w:szCs w:val="28"/>
                    </w:rPr>
                  </w:pPr>
                </w:p>
                <w:p>
                  <w:pPr>
                    <w:widowControl/>
                    <w:jc w:val="center"/>
                    <w:textAlignment w:val="center"/>
                    <w:rPr>
                      <w:rFonts w:ascii="宋体" w:hAnsi="宋体" w:eastAsia="宋体" w:cs="宋体"/>
                      <w:color w:val="000000"/>
                      <w:sz w:val="28"/>
                      <w:szCs w:val="28"/>
                    </w:rPr>
                  </w:pPr>
                  <w:r>
                    <w:rPr>
                      <w:rFonts w:hint="eastAsia" w:ascii="宋体" w:hAnsi="宋体" w:eastAsia="宋体" w:cs="宋体"/>
                      <w:color w:val="000000"/>
                      <w:sz w:val="28"/>
                      <w:szCs w:val="28"/>
                    </w:rPr>
                    <w:t>APP名称应用情况介绍</w:t>
                  </w:r>
                </w:p>
              </w:tc>
              <w:tc>
                <w:tcPr>
                  <w:tcW w:w="7237" w:type="dxa"/>
                  <w:gridSpan w:val="5"/>
                </w:tcPr>
                <w:p>
                  <w:pPr>
                    <w:widowControl/>
                    <w:jc w:val="center"/>
                    <w:textAlignment w:val="center"/>
                    <w:rPr>
                      <w:rFonts w:ascii="宋体" w:hAnsi="宋体" w:eastAsia="宋体" w:cs="宋体"/>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 w:hRule="atLeast"/>
              </w:trPr>
              <w:tc>
                <w:tcPr>
                  <w:tcW w:w="1809" w:type="dxa"/>
                </w:tcPr>
                <w:p>
                  <w:pPr>
                    <w:widowControl/>
                    <w:jc w:val="center"/>
                    <w:textAlignment w:val="center"/>
                    <w:rPr>
                      <w:rFonts w:ascii="宋体" w:hAnsi="宋体" w:eastAsia="宋体" w:cs="宋体"/>
                      <w:color w:val="000000"/>
                      <w:sz w:val="28"/>
                      <w:szCs w:val="28"/>
                    </w:rPr>
                  </w:pPr>
                </w:p>
                <w:p>
                  <w:pPr>
                    <w:widowControl/>
                    <w:jc w:val="center"/>
                    <w:textAlignment w:val="center"/>
                    <w:rPr>
                      <w:rFonts w:ascii="宋体" w:hAnsi="宋体" w:eastAsia="宋体" w:cs="宋体"/>
                      <w:color w:val="000000"/>
                      <w:sz w:val="28"/>
                      <w:szCs w:val="28"/>
                    </w:rPr>
                  </w:pPr>
                  <w:r>
                    <w:rPr>
                      <w:rFonts w:hint="eastAsia" w:ascii="宋体" w:hAnsi="宋体" w:eastAsia="宋体" w:cs="宋体"/>
                      <w:color w:val="000000"/>
                      <w:sz w:val="28"/>
                      <w:szCs w:val="28"/>
                    </w:rPr>
                    <w:t>同意加入</w:t>
                  </w:r>
                </w:p>
              </w:tc>
              <w:tc>
                <w:tcPr>
                  <w:tcW w:w="7237" w:type="dxa"/>
                  <w:gridSpan w:val="5"/>
                </w:tcPr>
                <w:p>
                  <w:pPr>
                    <w:widowControl/>
                    <w:jc w:val="center"/>
                    <w:textAlignment w:val="center"/>
                    <w:rPr>
                      <w:rFonts w:ascii="宋体" w:hAnsi="宋体" w:eastAsia="宋体" w:cs="宋体"/>
                      <w:color w:val="000000"/>
                      <w:sz w:val="28"/>
                      <w:szCs w:val="28"/>
                    </w:rPr>
                  </w:pPr>
                </w:p>
                <w:p>
                  <w:pPr>
                    <w:widowControl/>
                    <w:jc w:val="center"/>
                    <w:textAlignment w:val="center"/>
                    <w:rPr>
                      <w:rFonts w:ascii="宋体" w:hAnsi="宋体" w:eastAsia="宋体" w:cs="宋体"/>
                      <w:color w:val="000000"/>
                      <w:sz w:val="28"/>
                      <w:szCs w:val="28"/>
                    </w:rPr>
                  </w:pPr>
                  <w:r>
                    <w:rPr>
                      <w:rFonts w:hint="eastAsia" w:ascii="宋体" w:hAnsi="宋体" w:eastAsia="宋体" w:cs="宋体"/>
                      <w:color w:val="000000"/>
                      <w:sz w:val="28"/>
                      <w:szCs w:val="28"/>
                    </w:rPr>
                    <w:t>单位公章：</w:t>
                  </w:r>
                </w:p>
                <w:p>
                  <w:pPr>
                    <w:widowControl/>
                    <w:jc w:val="center"/>
                    <w:textAlignment w:val="center"/>
                    <w:rPr>
                      <w:rFonts w:ascii="宋体" w:hAnsi="宋体" w:eastAsia="宋体" w:cs="宋体"/>
                      <w:color w:val="000000"/>
                      <w:sz w:val="28"/>
                      <w:szCs w:val="28"/>
                    </w:rPr>
                  </w:pPr>
                  <w:r>
                    <w:rPr>
                      <w:rFonts w:hint="eastAsia" w:ascii="宋体" w:hAnsi="宋体" w:eastAsia="宋体" w:cs="宋体"/>
                      <w:color w:val="000000"/>
                      <w:sz w:val="28"/>
                      <w:szCs w:val="28"/>
                    </w:rPr>
                    <w:t>日期：</w:t>
                  </w:r>
                </w:p>
              </w:tc>
            </w:tr>
          </w:tbl>
          <w:p>
            <w:pPr>
              <w:widowControl/>
              <w:jc w:val="center"/>
              <w:textAlignment w:val="center"/>
              <w:rPr>
                <w:rFonts w:ascii="宋体" w:hAnsi="宋体" w:eastAsia="宋体" w:cs="宋体"/>
                <w:b/>
                <w:color w:val="000000"/>
                <w:sz w:val="28"/>
                <w:szCs w:val="28"/>
              </w:rPr>
            </w:pPr>
          </w:p>
          <w:p>
            <w:pPr>
              <w:widowControl/>
              <w:jc w:val="center"/>
              <w:textAlignment w:val="center"/>
              <w:rPr>
                <w:rFonts w:ascii="宋体" w:hAnsi="宋体" w:eastAsia="宋体" w:cs="宋体"/>
                <w:b/>
                <w:color w:val="000000"/>
                <w:sz w:val="28"/>
                <w:szCs w:val="28"/>
              </w:rPr>
            </w:pPr>
          </w:p>
          <w:p>
            <w:pPr>
              <w:widowControl/>
              <w:jc w:val="center"/>
              <w:textAlignment w:val="center"/>
              <w:rPr>
                <w:rFonts w:ascii="宋体" w:hAnsi="宋体" w:eastAsia="宋体" w:cs="宋体"/>
                <w:b/>
                <w:color w:val="000000"/>
                <w:sz w:val="28"/>
                <w:szCs w:val="28"/>
              </w:rPr>
            </w:pPr>
          </w:p>
        </w:tc>
      </w:tr>
    </w:tbl>
    <w:p>
      <w:pPr>
        <w:numPr>
          <w:ilvl w:val="0"/>
          <w:numId w:val="3"/>
        </w:numPr>
        <w:ind w:left="1260"/>
        <w:rPr>
          <w:rFonts w:ascii="仿宋" w:hAnsi="仿宋" w:eastAsia="仿宋"/>
          <w:sz w:val="30"/>
          <w:szCs w:val="30"/>
        </w:rPr>
      </w:pPr>
    </w:p>
    <w:sectPr>
      <w:pgSz w:w="11906" w:h="16838"/>
      <w:pgMar w:top="1440" w:right="1236" w:bottom="1440" w:left="134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46349B6"/>
    <w:multiLevelType w:val="multilevel"/>
    <w:tmpl w:val="F46349B6"/>
    <w:lvl w:ilvl="0" w:tentative="0">
      <w:start w:val="1"/>
      <w:numFmt w:val="chineseCounting"/>
      <w:suff w:val="nothing"/>
      <w:lvlText w:val="%1、"/>
      <w:lvlJc w:val="left"/>
      <w:pPr>
        <w:tabs>
          <w:tab w:val="left" w:pos="0"/>
        </w:tabs>
        <w:ind w:left="0" w:firstLine="0"/>
      </w:pPr>
      <w:rPr>
        <w:rFonts w:hint="eastAsia"/>
      </w:rPr>
    </w:lvl>
    <w:lvl w:ilvl="1" w:tentative="0">
      <w:start w:val="1"/>
      <w:numFmt w:val="chineseCounting"/>
      <w:pStyle w:val="3"/>
      <w:suff w:val="nothing"/>
      <w:lvlText w:val="（%2）"/>
      <w:lvlJc w:val="left"/>
      <w:pPr>
        <w:ind w:left="0" w:firstLine="0"/>
      </w:pPr>
      <w:rPr>
        <w:rFonts w:hint="eastAsia"/>
      </w:rPr>
    </w:lvl>
    <w:lvl w:ilvl="2" w:tentative="0">
      <w:start w:val="1"/>
      <w:numFmt w:val="decimal"/>
      <w:pStyle w:val="4"/>
      <w:suff w:val="nothing"/>
      <w:lvlText w:val="%3．"/>
      <w:lvlJc w:val="left"/>
      <w:pPr>
        <w:ind w:left="0" w:firstLine="400"/>
      </w:pPr>
      <w:rPr>
        <w:rFonts w:hint="eastAsia"/>
      </w:rPr>
    </w:lvl>
    <w:lvl w:ilvl="3" w:tentative="0">
      <w:start w:val="1"/>
      <w:numFmt w:val="decimal"/>
      <w:pStyle w:val="5"/>
      <w:suff w:val="nothing"/>
      <w:lvlText w:val="（%4）"/>
      <w:lvlJc w:val="left"/>
      <w:pPr>
        <w:ind w:left="0" w:firstLine="402"/>
      </w:pPr>
      <w:rPr>
        <w:rFonts w:hint="eastAsia"/>
      </w:rPr>
    </w:lvl>
    <w:lvl w:ilvl="4" w:tentative="0">
      <w:start w:val="1"/>
      <w:numFmt w:val="decimalEnclosedCircleChinese"/>
      <w:pStyle w:val="6"/>
      <w:suff w:val="nothing"/>
      <w:lvlText w:val="%5"/>
      <w:lvlJc w:val="left"/>
      <w:pPr>
        <w:ind w:left="0" w:firstLine="402"/>
      </w:pPr>
      <w:rPr>
        <w:rFonts w:hint="eastAsia"/>
      </w:rPr>
    </w:lvl>
    <w:lvl w:ilvl="5" w:tentative="0">
      <w:start w:val="1"/>
      <w:numFmt w:val="decimal"/>
      <w:pStyle w:val="7"/>
      <w:suff w:val="nothing"/>
      <w:lvlText w:val="%6）"/>
      <w:lvlJc w:val="left"/>
      <w:pPr>
        <w:ind w:left="0" w:firstLine="402"/>
      </w:pPr>
      <w:rPr>
        <w:rFonts w:hint="eastAsia"/>
      </w:rPr>
    </w:lvl>
    <w:lvl w:ilvl="6" w:tentative="0">
      <w:start w:val="1"/>
      <w:numFmt w:val="lowerLetter"/>
      <w:pStyle w:val="8"/>
      <w:suff w:val="nothing"/>
      <w:lvlText w:val="%7．"/>
      <w:lvlJc w:val="left"/>
      <w:pPr>
        <w:ind w:left="0" w:firstLine="402"/>
      </w:pPr>
      <w:rPr>
        <w:rFonts w:hint="eastAsia"/>
      </w:rPr>
    </w:lvl>
    <w:lvl w:ilvl="7" w:tentative="0">
      <w:start w:val="1"/>
      <w:numFmt w:val="lowerLetter"/>
      <w:pStyle w:val="9"/>
      <w:suff w:val="nothing"/>
      <w:lvlText w:val="%8）"/>
      <w:lvlJc w:val="left"/>
      <w:pPr>
        <w:ind w:left="0" w:firstLine="402"/>
      </w:pPr>
      <w:rPr>
        <w:rFonts w:hint="eastAsia"/>
      </w:rPr>
    </w:lvl>
    <w:lvl w:ilvl="8" w:tentative="0">
      <w:start w:val="1"/>
      <w:numFmt w:val="lowerRoman"/>
      <w:pStyle w:val="10"/>
      <w:suff w:val="nothing"/>
      <w:lvlText w:val="%9 "/>
      <w:lvlJc w:val="left"/>
      <w:pPr>
        <w:ind w:left="0" w:firstLine="402"/>
      </w:pPr>
      <w:rPr>
        <w:rFonts w:hint="eastAsia"/>
      </w:rPr>
    </w:lvl>
  </w:abstractNum>
  <w:abstractNum w:abstractNumId="1">
    <w:nsid w:val="17E03296"/>
    <w:multiLevelType w:val="singleLevel"/>
    <w:tmpl w:val="17E03296"/>
    <w:lvl w:ilvl="0" w:tentative="0">
      <w:start w:val="1"/>
      <w:numFmt w:val="bullet"/>
      <w:lvlText w:val=""/>
      <w:lvlJc w:val="left"/>
      <w:pPr>
        <w:ind w:left="420" w:hanging="420"/>
      </w:pPr>
      <w:rPr>
        <w:rFonts w:hint="default" w:ascii="Wingdings" w:hAnsi="Wingdings"/>
      </w:rPr>
    </w:lvl>
  </w:abstractNum>
  <w:abstractNum w:abstractNumId="2">
    <w:nsid w:val="6DFB10FC"/>
    <w:multiLevelType w:val="multilevel"/>
    <w:tmpl w:val="6DFB10FC"/>
    <w:lvl w:ilvl="0" w:tentative="0">
      <w:start w:val="1"/>
      <w:numFmt w:val="decimalFullWidth"/>
      <w:lvlText w:val="%1、"/>
      <w:lvlJc w:val="left"/>
      <w:pPr>
        <w:ind w:left="825" w:hanging="405"/>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A7161B"/>
    <w:rsid w:val="000651B3"/>
    <w:rsid w:val="0009188A"/>
    <w:rsid w:val="000A4F6E"/>
    <w:rsid w:val="001A1CCF"/>
    <w:rsid w:val="002A0401"/>
    <w:rsid w:val="00306904"/>
    <w:rsid w:val="00332EE3"/>
    <w:rsid w:val="005A497A"/>
    <w:rsid w:val="0089368B"/>
    <w:rsid w:val="00A45C45"/>
    <w:rsid w:val="00B13C6E"/>
    <w:rsid w:val="00CC138A"/>
    <w:rsid w:val="00DD397F"/>
    <w:rsid w:val="00DD490E"/>
    <w:rsid w:val="00E03640"/>
    <w:rsid w:val="02C852FE"/>
    <w:rsid w:val="0BB35915"/>
    <w:rsid w:val="0C6711A4"/>
    <w:rsid w:val="10983359"/>
    <w:rsid w:val="14E10873"/>
    <w:rsid w:val="1D2600E5"/>
    <w:rsid w:val="230E4D0C"/>
    <w:rsid w:val="34F17D8D"/>
    <w:rsid w:val="389E49B3"/>
    <w:rsid w:val="3A9B19C9"/>
    <w:rsid w:val="50F06715"/>
    <w:rsid w:val="52701CE6"/>
    <w:rsid w:val="5479777F"/>
    <w:rsid w:val="659D4075"/>
    <w:rsid w:val="66462963"/>
    <w:rsid w:val="68B521CF"/>
    <w:rsid w:val="6FC00BC9"/>
    <w:rsid w:val="7EA716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6" w:lineRule="auto"/>
      <w:outlineLvl w:val="0"/>
    </w:pPr>
    <w:rPr>
      <w:b/>
      <w:kern w:val="44"/>
      <w:sz w:val="36"/>
    </w:rPr>
  </w:style>
  <w:style w:type="paragraph" w:styleId="3">
    <w:name w:val="heading 2"/>
    <w:basedOn w:val="1"/>
    <w:next w:val="1"/>
    <w:semiHidden/>
    <w:unhideWhenUsed/>
    <w:qFormat/>
    <w:uiPriority w:val="0"/>
    <w:pPr>
      <w:keepNext/>
      <w:keepLines/>
      <w:numPr>
        <w:ilvl w:val="1"/>
        <w:numId w:val="1"/>
      </w:numPr>
      <w:spacing w:before="260" w:after="260" w:line="413" w:lineRule="auto"/>
      <w:outlineLvl w:val="1"/>
    </w:pPr>
    <w:rPr>
      <w:rFonts w:ascii="Arial" w:hAnsi="Arial" w:eastAsia="黑体"/>
      <w:b/>
      <w:sz w:val="30"/>
    </w:rPr>
  </w:style>
  <w:style w:type="paragraph" w:styleId="4">
    <w:name w:val="heading 3"/>
    <w:basedOn w:val="1"/>
    <w:next w:val="1"/>
    <w:semiHidden/>
    <w:unhideWhenUsed/>
    <w:qFormat/>
    <w:uiPriority w:val="0"/>
    <w:pPr>
      <w:keepNext/>
      <w:keepLines/>
      <w:numPr>
        <w:ilvl w:val="2"/>
        <w:numId w:val="1"/>
      </w:numPr>
      <w:spacing w:before="260" w:after="260" w:line="413" w:lineRule="auto"/>
      <w:outlineLvl w:val="2"/>
    </w:pPr>
    <w:rPr>
      <w:b/>
      <w:sz w:val="32"/>
    </w:rPr>
  </w:style>
  <w:style w:type="paragraph" w:styleId="5">
    <w:name w:val="heading 4"/>
    <w:basedOn w:val="1"/>
    <w:next w:val="1"/>
    <w:semiHidden/>
    <w:unhideWhenUsed/>
    <w:qFormat/>
    <w:uiPriority w:val="0"/>
    <w:pPr>
      <w:keepNext/>
      <w:keepLines/>
      <w:numPr>
        <w:ilvl w:val="3"/>
        <w:numId w:val="1"/>
      </w:numPr>
      <w:spacing w:before="280" w:after="290" w:line="372" w:lineRule="auto"/>
      <w:outlineLvl w:val="3"/>
    </w:pPr>
    <w:rPr>
      <w:rFonts w:ascii="Arial" w:hAnsi="Arial" w:eastAsia="黑体"/>
      <w:b/>
      <w:sz w:val="28"/>
    </w:rPr>
  </w:style>
  <w:style w:type="paragraph" w:styleId="6">
    <w:name w:val="heading 5"/>
    <w:basedOn w:val="1"/>
    <w:next w:val="1"/>
    <w:semiHidden/>
    <w:unhideWhenUsed/>
    <w:qFormat/>
    <w:uiPriority w:val="0"/>
    <w:pPr>
      <w:keepNext/>
      <w:keepLines/>
      <w:numPr>
        <w:ilvl w:val="4"/>
        <w:numId w:val="1"/>
      </w:numPr>
      <w:spacing w:before="280" w:after="290" w:line="372" w:lineRule="auto"/>
      <w:outlineLvl w:val="4"/>
    </w:pPr>
    <w:rPr>
      <w:b/>
      <w:sz w:val="28"/>
    </w:rPr>
  </w:style>
  <w:style w:type="paragraph" w:styleId="7">
    <w:name w:val="heading 6"/>
    <w:basedOn w:val="1"/>
    <w:next w:val="1"/>
    <w:semiHidden/>
    <w:unhideWhenUsed/>
    <w:qFormat/>
    <w:uiPriority w:val="0"/>
    <w:pPr>
      <w:keepNext/>
      <w:keepLines/>
      <w:numPr>
        <w:ilvl w:val="5"/>
        <w:numId w:val="1"/>
      </w:numPr>
      <w:spacing w:before="240" w:after="64" w:line="317" w:lineRule="auto"/>
      <w:outlineLvl w:val="5"/>
    </w:pPr>
    <w:rPr>
      <w:rFonts w:ascii="Arial" w:hAnsi="Arial" w:eastAsia="黑体"/>
      <w:b/>
      <w:sz w:val="24"/>
    </w:rPr>
  </w:style>
  <w:style w:type="paragraph" w:styleId="8">
    <w:name w:val="heading 7"/>
    <w:basedOn w:val="1"/>
    <w:next w:val="1"/>
    <w:semiHidden/>
    <w:unhideWhenUsed/>
    <w:qFormat/>
    <w:uiPriority w:val="0"/>
    <w:pPr>
      <w:keepNext/>
      <w:keepLines/>
      <w:numPr>
        <w:ilvl w:val="6"/>
        <w:numId w:val="1"/>
      </w:numPr>
      <w:spacing w:before="240" w:after="64" w:line="317" w:lineRule="auto"/>
      <w:outlineLvl w:val="6"/>
    </w:pPr>
    <w:rPr>
      <w:b/>
      <w:sz w:val="24"/>
    </w:rPr>
  </w:style>
  <w:style w:type="paragraph" w:styleId="9">
    <w:name w:val="heading 8"/>
    <w:basedOn w:val="1"/>
    <w:next w:val="1"/>
    <w:semiHidden/>
    <w:unhideWhenUsed/>
    <w:qFormat/>
    <w:uiPriority w:val="0"/>
    <w:pPr>
      <w:keepNext/>
      <w:keepLines/>
      <w:numPr>
        <w:ilvl w:val="7"/>
        <w:numId w:val="1"/>
      </w:numPr>
      <w:spacing w:before="240" w:after="64" w:line="317" w:lineRule="auto"/>
      <w:outlineLvl w:val="7"/>
    </w:pPr>
    <w:rPr>
      <w:rFonts w:ascii="Arial" w:hAnsi="Arial" w:eastAsia="黑体"/>
      <w:sz w:val="24"/>
    </w:rPr>
  </w:style>
  <w:style w:type="paragraph" w:styleId="10">
    <w:name w:val="heading 9"/>
    <w:basedOn w:val="1"/>
    <w:next w:val="1"/>
    <w:semiHidden/>
    <w:unhideWhenUsed/>
    <w:qFormat/>
    <w:uiPriority w:val="0"/>
    <w:pPr>
      <w:keepNext/>
      <w:keepLines/>
      <w:numPr>
        <w:ilvl w:val="8"/>
        <w:numId w:val="1"/>
      </w:numPr>
      <w:spacing w:before="240" w:after="64" w:line="317" w:lineRule="auto"/>
      <w:outlineLvl w:val="8"/>
    </w:pPr>
    <w:rPr>
      <w:rFonts w:ascii="Arial" w:hAnsi="Arial" w:eastAsia="黑体"/>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Layout w:type="fixed"/>
      <w:tblCellMar>
        <w:top w:w="0" w:type="dxa"/>
        <w:left w:w="108" w:type="dxa"/>
        <w:bottom w:w="0" w:type="dxa"/>
        <w:right w:w="108" w:type="dxa"/>
      </w:tblCellMar>
    </w:tblPr>
  </w:style>
  <w:style w:type="paragraph" w:styleId="11">
    <w:name w:val="Date"/>
    <w:basedOn w:val="1"/>
    <w:next w:val="1"/>
    <w:link w:val="18"/>
    <w:qFormat/>
    <w:uiPriority w:val="0"/>
    <w:pPr>
      <w:ind w:left="100" w:leftChars="2500"/>
    </w:pPr>
  </w:style>
  <w:style w:type="table" w:styleId="13">
    <w:name w:val="Table Grid"/>
    <w:basedOn w:val="12"/>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5">
    <w:name w:val="Hyperlink"/>
    <w:basedOn w:val="14"/>
    <w:qFormat/>
    <w:uiPriority w:val="0"/>
    <w:rPr>
      <w:color w:val="0000FF"/>
      <w:u w:val="single"/>
    </w:rPr>
  </w:style>
  <w:style w:type="paragraph" w:styleId="16">
    <w:name w:val="List Paragraph"/>
    <w:basedOn w:val="1"/>
    <w:qFormat/>
    <w:uiPriority w:val="99"/>
    <w:pPr>
      <w:ind w:firstLine="420" w:firstLineChars="200"/>
    </w:pPr>
  </w:style>
  <w:style w:type="character" w:customStyle="1" w:styleId="17">
    <w:name w:val="Unresolved Mention"/>
    <w:basedOn w:val="14"/>
    <w:semiHidden/>
    <w:unhideWhenUsed/>
    <w:qFormat/>
    <w:uiPriority w:val="99"/>
    <w:rPr>
      <w:color w:val="605E5C"/>
      <w:shd w:val="clear" w:color="auto" w:fill="E1DFDD"/>
    </w:rPr>
  </w:style>
  <w:style w:type="character" w:customStyle="1" w:styleId="18">
    <w:name w:val="日期 字符"/>
    <w:basedOn w:val="14"/>
    <w:link w:val="11"/>
    <w:qFormat/>
    <w:uiPriority w:val="0"/>
    <w:rPr>
      <w:rFonts w:asciiTheme="minorHAnsi" w:hAnsiTheme="minorHAnsi" w:eastAsiaTheme="minorEastAsia" w:cstheme="minorBidi"/>
      <w:kern w:val="2"/>
      <w:sz w:val="21"/>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321</Words>
  <Characters>1832</Characters>
  <Lines>15</Lines>
  <Paragraphs>4</Paragraphs>
  <TotalTime>6</TotalTime>
  <ScaleCrop>false</ScaleCrop>
  <LinksUpToDate>false</LinksUpToDate>
  <CharactersWithSpaces>2149</CharactersWithSpaces>
  <Application>WPS Office_11.1.0.8515_F1E327BC-269C-435d-A152-05C5408002CA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2019-01-16T15:16:00Z</dcterms:created>
  <dc:creator>方小兵</dc:creator>
  <cp:lastModifiedBy>晏庆华</cp:lastModifiedBy>
  <cp:lastPrinted>2019-01-16T12:30:00Z</cp:lastPrinted>
  <dcterms:modified xsi:type="dcterms:W3CDTF">2019-03-11T08:57:03Z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2052-11.1.0.8515</vt:lpwstr>
  </property>
</Properties>
</file>